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April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001-41933</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Haoxi Health Technology Limited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Room 801, Tower C, Floor 8, Building 103</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Huizhongli, Chaoyang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Beijing,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 in Registrant’s Certifying Accountant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April 2, 2026, of the audit committee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Haoxi Health Technology Limited’s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resolved to dismiss the engagement of Wei, Wei &amp; Co., LLP (the “</w:t>
      </w:r>
      <w:r>
        <w:rPr>
          <w:rFonts w:ascii="Times New Roman" w:cs="Times New Roman" w:eastAsia="Times New Roman" w:hAnsi="Times New Roman"/>
          <w:sz w:val="18"/>
          <w:szCs w:val="18"/>
          <w:b w:val="1"/>
          <w:bCs w:val="1"/>
          <w:color w:val="auto"/>
        </w:rPr>
        <w:t>Former Auditor</w:t>
      </w:r>
      <w:r>
        <w:rPr>
          <w:rFonts w:ascii="Times New Roman" w:cs="Times New Roman" w:eastAsia="Times New Roman" w:hAnsi="Times New Roman"/>
          <w:sz w:val="18"/>
          <w:szCs w:val="18"/>
          <w:color w:val="auto"/>
        </w:rPr>
        <w:t>”) as the Company’s independent registered public accounting firm, effective on April 3, 2026, and to appoint HCL, PLLC (the “</w:t>
      </w:r>
      <w:r>
        <w:rPr>
          <w:rFonts w:ascii="Times New Roman" w:cs="Times New Roman" w:eastAsia="Times New Roman" w:hAnsi="Times New Roman"/>
          <w:sz w:val="18"/>
          <w:szCs w:val="18"/>
          <w:b w:val="1"/>
          <w:bCs w:val="1"/>
          <w:color w:val="auto"/>
        </w:rPr>
        <w:t>New Auditor</w:t>
      </w:r>
      <w:r>
        <w:rPr>
          <w:rFonts w:ascii="Times New Roman" w:cs="Times New Roman" w:eastAsia="Times New Roman" w:hAnsi="Times New Roman"/>
          <w:sz w:val="18"/>
          <w:szCs w:val="18"/>
          <w:color w:val="auto"/>
        </w:rPr>
        <w:t>”) to serve as its independent registered public accounting firm, effective on April 3, 2026.</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two most recent fiscal years ended June 30, 2025 and 2024, and through the subsequent interim period preceding the release, the Former Auditor has neither provided any adverse opinion or qualifications on the Company’s financial statements nor had a disagreement with the Company since their engagement on any matter of accounting principles or practices, financial statement disclosure, or auditing scope or procedure, which disagreements that, if not resolved to the Former Auditor’s satisfaction, would have caused the Former Auditor to make reference to the subject matter thereof in its reports for such fiscal years and interim period.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two most recent fiscal years ended June 30, 2025 and 2024, and through the subsequent interim period preceding the release, there was no “reportable event” within the meaning of Item 16F(a)(1)(v) of Form 20-F.</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provided the Former Auditor with a copy of this report prior to its filing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The Former Auditor has provided a letter to us and addressed to the SEC, which is attached hereto as Exhibit 16.1 and is hereby incorporated herein by reference.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two most recent fiscal years ended June 30, 2025 and 2024, and any subsequent interim periods prior to the engagement of the New Auditor, neither the Company, nor someone on behalf of the Company, has consulted New Auditor regarding (i) the application of accounting principles to any specified transaction, either completed or proposed, or the type of audit opinion that might be rendered on the Company’s financial statements; (ii) the type of audit opinion that might be rendered on the Company’s financial statements by the New Auditor in either case where written or oral advice provided by the New Auditor would be an important factor considered by the Company in reaching a decision as to any accounting, auditing or financial reporting issues; or (iii) any matter that was either the subject of a disagreement (as defined in paragraph (a)(1)(iv) of Item 304 of Regulation S-K and the related instructions thereto) or a reportable event (as described in paragraph (a)(1)(v) of Item 304 of Regulation S-K).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0" w:type="dxa"/>
            <w:vAlign w:val="bottom"/>
            <w:tcBorders>
              <w:top w:val="single" w:sz="8" w:color="auto"/>
            </w:tcBorders>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7"/>
                <w:szCs w:val="17"/>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Letter from Wei, Wei &amp; Co., LLP to the U.S. Securities and Exchange Commission</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00" w:type="dxa"/>
            <w:vAlign w:val="bottom"/>
            <w:tcBorders>
              <w:top w:val="single" w:sz="8" w:color="0000EE"/>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2</w:t>
            </w:r>
          </w:p>
        </w:tc>
        <w:tc>
          <w:tcPr>
            <w:tcW w:w="4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22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Zhen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Zhen Fan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6,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2143125" cy="822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-119380</wp:posOffset>
            </wp:positionV>
            <wp:extent cx="857250" cy="2023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0" cy="2023110"/>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Office of the Chief Accountant</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100 F Street Northeast</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 Haoxi Health Technology Ltd.</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CIK: 0001954594</w:t>
      </w:r>
    </w:p>
    <w:p>
      <w:pPr>
        <w:spacing w:after="0" w:line="207"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We have been furnished a copy of the statements being made by Haoxi Health Technology Ltd. (the “Company”) in its Form 6-K dated April 6, 2026 and captioned "Changes of Auditor". We acknowledge that Wei, Wei &amp; Co., LLP had issued audit reports on the consolidated financial statements of the Company for the years ended June 30, 2025 and 2024.</w:t>
      </w:r>
    </w:p>
    <w:p>
      <w:pPr>
        <w:spacing w:after="0" w:line="176"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During the period from August 3, 2022, the date of our appointment as the Company’s independent registered public accounting firm, through April 6, 2026, the date of our dismissal, there were no disagreements between us and the Company regarding accounting principles that we need to make reference to.</w:t>
      </w:r>
    </w:p>
    <w:p>
      <w:pPr>
        <w:spacing w:after="0" w:line="176" w:lineRule="exact"/>
        <w:rPr>
          <w:sz w:val="20"/>
          <w:szCs w:val="20"/>
          <w:color w:val="auto"/>
        </w:rPr>
      </w:pPr>
    </w:p>
    <w:p>
      <w:pPr>
        <w:jc w:val="both"/>
        <w:ind w:left="680"/>
        <w:spacing w:after="0" w:line="282" w:lineRule="auto"/>
        <w:rPr>
          <w:sz w:val="20"/>
          <w:szCs w:val="20"/>
          <w:color w:val="auto"/>
        </w:rPr>
      </w:pPr>
      <w:r>
        <w:rPr>
          <w:rFonts w:ascii="Times New Roman" w:cs="Times New Roman" w:eastAsia="Times New Roman" w:hAnsi="Times New Roman"/>
          <w:sz w:val="18"/>
          <w:szCs w:val="18"/>
          <w:color w:val="auto"/>
        </w:rPr>
        <w:t>We agree with all statements pertaining to us in such Form 6-K. We have no basis to agree or disagree with any other statements of the Registrant contained in Exhibit 16.1.</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154305</wp:posOffset>
            </wp:positionV>
            <wp:extent cx="2143125"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Wei, Wei &amp; Co., LLP</w:t>
      </w:r>
    </w:p>
    <w:sectPr>
      <w:pgSz w:w="11900" w:h="16838" w:orient="portrait"/>
      <w:cols w:equalWidth="0" w:num="1">
        <w:col w:w="10120"/>
      </w:cols>
      <w:pgMar w:left="144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2026-04-06T16:13:09Z</dcterms:created>
  <dcterms:modified xsi:type="dcterms:W3CDTF">2026-04-06T16:13:09Z</dcterms:modified>
</cp:coreProperties>
</file>