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001-41933</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HAOXI HEALTH TECHNOLOGY LIMITED</w:t>
      </w:r>
    </w:p>
    <w:p>
      <w:pPr>
        <w:spacing w:after="0" w:line="3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801, Tower C, Floor 8, Building 103, Huizhongli, Chaoyang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hereby furnishes the following documents as exhibits to this report: “Unaudited Condensed Consolidated Financial Statements for the Six Months Ended December 31, 2025 and 2024” and “Management’s Discussion and Analysis of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2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Financial Statements for the Six Months Ended December 31, 2025 and 2024</w:t>
            </w:r>
          </w:p>
        </w:tc>
        <w:tc>
          <w:tcPr>
            <w:tcW w:w="18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r>
    </w:tbl>
    <w:p>
      <w:pPr>
        <w:ind w:left="5580" w:right="3560" w:hanging="5572"/>
        <w:spacing w:after="0" w:line="761" w:lineRule="auto"/>
        <w:tabs>
          <w:tab w:leader="none" w:pos="11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83" w:lineRule="exact"/>
        <w:rPr>
          <w:sz w:val="20"/>
          <w:szCs w:val="20"/>
          <w:color w:val="auto"/>
        </w:rPr>
      </w:pPr>
    </w:p>
    <w:p>
      <w:pPr>
        <w:ind w:left="40"/>
        <w:spacing w:after="0"/>
        <w:tabs>
          <w:tab w:leader="none" w:pos="6720" w:val="left"/>
          <w:tab w:leader="none" w:pos="7300" w:val="left"/>
        </w:tabs>
        <w:rPr>
          <w:sz w:val="20"/>
          <w:szCs w:val="20"/>
          <w:color w:val="auto"/>
        </w:rPr>
      </w:pPr>
      <w:r>
        <w:rPr>
          <w:rFonts w:ascii="Times New Roman" w:cs="Times New Roman" w:eastAsia="Times New Roman" w:hAnsi="Times New Roman"/>
          <w:sz w:val="18"/>
          <w:szCs w:val="18"/>
          <w:color w:val="auto"/>
        </w:rPr>
        <w:t>Date: April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688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Zhen Fan</w:t>
      </w:r>
    </w:p>
    <w:p>
      <w:pPr>
        <w:spacing w:after="0" w:line="36"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80" w:type="dxa"/>
            <w:vAlign w:val="bottom"/>
            <w:gridSpan w:val="8"/>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HAOXI HEALTH TECHNOLOGY LIMITED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0" w:type="dxa"/>
            <w:vAlign w:val="bottom"/>
            <w:gridSpan w:val="9"/>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INDEX TO UNAUDITED CONDENSED CONSOLIDATED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rPr>
                <w:sz w:val="1"/>
                <w:szCs w:val="1"/>
                <w:color w:val="auto"/>
              </w:rPr>
            </w:pPr>
          </w:p>
        </w:tc>
      </w:tr>
      <w:tr>
        <w:trPr>
          <w:trHeight w:val="216"/>
        </w:trPr>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DECEMBER 31, 2025 AND JUNE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SIX</w:t>
            </w:r>
          </w:p>
        </w:tc>
        <w:tc>
          <w:tcPr>
            <w:tcW w:w="42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0080" w:type="dxa"/>
            <w:vAlign w:val="bottom"/>
            <w:gridSpan w:val="1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DECEMBER 31, 2025 AND 2024</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SIX MONTHS ENDED DECEMBER</w:t>
            </w:r>
          </w:p>
        </w:tc>
        <w:tc>
          <w:tcPr>
            <w:tcW w:w="38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0" w:type="dxa"/>
            <w:vAlign w:val="bottom"/>
            <w:shd w:val="clear" w:color="auto" w:fill="CCEEFF"/>
          </w:tcPr>
          <w:p>
            <w:pPr>
              <w:spacing w:after="0"/>
              <w:rPr>
                <w:sz w:val="18"/>
                <w:szCs w:val="18"/>
                <w:color w:val="auto"/>
              </w:rPr>
            </w:pPr>
          </w:p>
        </w:tc>
        <w:tc>
          <w:tcPr>
            <w:tcW w:w="10080" w:type="dxa"/>
            <w:vAlign w:val="bottom"/>
            <w:gridSpan w:val="1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31, 2025 AND 2024</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CHANGES IN SHAREHOLDERS’ EQUITY FOR THE SIX MONTHS ENDED</w:t>
            </w: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0000EE"/>
            </w:tcBorders>
            <w:shd w:val="clear" w:color="auto" w:fill="CCEEFF"/>
          </w:tcPr>
          <w:p>
            <w:pPr>
              <w:spacing w:after="0"/>
              <w:rPr>
                <w:sz w:val="18"/>
                <w:szCs w:val="18"/>
                <w:color w:val="auto"/>
              </w:rPr>
            </w:pPr>
          </w:p>
        </w:tc>
        <w:tc>
          <w:tcPr>
            <w:tcW w:w="9720" w:type="dxa"/>
            <w:vAlign w:val="bottom"/>
            <w:tcBorders>
              <w:top w:val="single" w:sz="8" w:color="0000EE"/>
            </w:tcBorders>
            <w:gridSpan w:val="8"/>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DECEMBER 31, 2025 AND 2024</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NOTES TO UNAUDITED CONDENSED CONSOLIDATED FINANCIAL STATEMENTS</w:t>
            </w:r>
          </w:p>
        </w:tc>
        <w:tc>
          <w:tcPr>
            <w:tcW w:w="35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F-6 – F-23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7"/>
          </w:tcPr>
          <w:p>
            <w:pPr>
              <w:jc w:val="center"/>
              <w:ind w:right="312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6,801,155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8,618,461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7,376,437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5,699,738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992,907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 receivables and other assets, net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125,131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4,826,089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15,322,806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19,604,560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convertible bond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103,492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694,667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1,802,667</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40,015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79,188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5,338,174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20,660,980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21,595,314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1,280,446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1,307,937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 from customers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1,224,178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537,646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1,681,204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1,307,270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borrowing-current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300,338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accounts payable-current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4,438,313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3,885,065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26,496</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borrowing</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266,048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307,323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4,704,361</w:t>
            </w:r>
          </w:p>
        </w:tc>
        <w:tc>
          <w:tcPr>
            <w:tcW w:w="1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4,218,884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474" w:gutter="0" w:footer="0" w:header="0"/>
        </w:sect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SHAREHOLDERS’EQUITY: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ind w:left="500" w:right="140" w:hanging="161"/>
        <w:spacing w:after="0" w:line="265" w:lineRule="auto"/>
        <w:rPr>
          <w:sz w:val="20"/>
          <w:szCs w:val="20"/>
          <w:color w:val="auto"/>
        </w:rPr>
      </w:pPr>
      <w:r>
        <w:rPr>
          <w:rFonts w:ascii="Times New Roman" w:cs="Times New Roman" w:eastAsia="Times New Roman" w:hAnsi="Times New Roman"/>
          <w:sz w:val="17"/>
          <w:szCs w:val="17"/>
          <w:color w:val="auto"/>
        </w:rPr>
        <w:t>Class A Ordinary Shares (Par value US$0.0025 per share, 300,000,000 shares authorized, 58,753,028, and 2,205,795 shares issued and outstanding as of December 31,2025 and June 30,2025, respectively)</w:t>
      </w:r>
    </w:p>
    <w:p>
      <w:pPr>
        <w:ind w:left="340"/>
        <w:spacing w:after="0"/>
        <w:rPr>
          <w:sz w:val="20"/>
          <w:szCs w:val="20"/>
          <w:color w:val="auto"/>
        </w:rPr>
      </w:pPr>
      <w:r>
        <w:rPr>
          <w:rFonts w:ascii="Times New Roman" w:cs="Times New Roman" w:eastAsia="Times New Roman" w:hAnsi="Times New Roman"/>
          <w:sz w:val="18"/>
          <w:szCs w:val="18"/>
          <w:color w:val="auto"/>
        </w:rPr>
        <w:t>Class B Ordinary Shares (Par value US$0.0025 per share, 100,000,000 shares authorized,</w:t>
      </w:r>
    </w:p>
    <w:p>
      <w:pPr>
        <w:spacing w:after="0" w:line="9" w:lineRule="exact"/>
        <w:rPr>
          <w:sz w:val="20"/>
          <w:szCs w:val="20"/>
          <w:color w:val="auto"/>
        </w:rPr>
      </w:pPr>
    </w:p>
    <w:p>
      <w:pPr>
        <w:ind w:left="500" w:right="240"/>
        <w:spacing w:after="0" w:line="250" w:lineRule="auto"/>
        <w:rPr>
          <w:sz w:val="20"/>
          <w:szCs w:val="20"/>
          <w:color w:val="auto"/>
        </w:rPr>
      </w:pPr>
      <w:r>
        <w:rPr>
          <w:rFonts w:ascii="Times New Roman" w:cs="Times New Roman" w:eastAsia="Times New Roman" w:hAnsi="Times New Roman"/>
          <w:sz w:val="18"/>
          <w:szCs w:val="18"/>
          <w:color w:val="auto"/>
        </w:rPr>
        <w:t>and 690,800 and 690,800 shares issued and outstanding as at December 31, 2025 and June 30,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(Accumulated deficits)/Retained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spacing w:after="0"/>
        <w:tabs>
          <w:tab w:leader="none" w:pos="2020" w:val="left"/>
        </w:tabs>
        <w:rPr>
          <w:sz w:val="20"/>
          <w:szCs w:val="20"/>
          <w:color w:val="auto"/>
        </w:rPr>
      </w:pPr>
      <w:r>
        <w:rPr>
          <w:rFonts w:ascii="Times New Roman" w:cs="Times New Roman" w:eastAsia="Times New Roman" w:hAnsi="Times New Roman"/>
          <w:sz w:val="18"/>
          <w:szCs w:val="18"/>
          <w:color w:val="auto"/>
        </w:rPr>
        <w:t>146,884</w:t>
      </w:r>
      <w:r>
        <w:rPr>
          <w:sz w:val="20"/>
          <w:szCs w:val="20"/>
          <w:color w:val="auto"/>
        </w:rPr>
        <w:tab/>
      </w:r>
      <w:r>
        <w:rPr>
          <w:rFonts w:ascii="Times New Roman" w:cs="Times New Roman" w:eastAsia="Times New Roman" w:hAnsi="Times New Roman"/>
          <w:sz w:val="18"/>
          <w:szCs w:val="18"/>
          <w:color w:val="auto"/>
        </w:rPr>
        <w:t>5,515</w:t>
      </w:r>
    </w:p>
    <w:p>
      <w:pPr>
        <w:spacing w:after="0" w:line="200" w:lineRule="exact"/>
        <w:rPr>
          <w:sz w:val="20"/>
          <w:szCs w:val="20"/>
          <w:color w:val="auto"/>
        </w:rPr>
      </w:pPr>
    </w:p>
    <w:p>
      <w:pPr>
        <w:spacing w:after="0" w:line="241"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1,727</w:t>
      </w:r>
      <w:r>
        <w:rPr>
          <w:sz w:val="20"/>
          <w:szCs w:val="20"/>
          <w:color w:val="auto"/>
        </w:rPr>
        <w:tab/>
      </w:r>
      <w:r>
        <w:rPr>
          <w:rFonts w:ascii="Times New Roman" w:cs="Times New Roman" w:eastAsia="Times New Roman" w:hAnsi="Times New Roman"/>
          <w:sz w:val="18"/>
          <w:szCs w:val="18"/>
          <w:color w:val="auto"/>
        </w:rPr>
        <w:t>1,727</w:t>
      </w:r>
    </w:p>
    <w:p>
      <w:pPr>
        <w:spacing w:after="0" w:line="27" w:lineRule="exact"/>
        <w:rPr>
          <w:sz w:val="20"/>
          <w:szCs w:val="20"/>
          <w:color w:val="auto"/>
        </w:rPr>
      </w:pPr>
    </w:p>
    <w:p>
      <w:pPr>
        <w:ind w:left="320"/>
        <w:spacing w:after="0"/>
        <w:tabs>
          <w:tab w:leader="none" w:pos="1620" w:val="left"/>
        </w:tabs>
        <w:rPr>
          <w:sz w:val="20"/>
          <w:szCs w:val="20"/>
          <w:color w:val="auto"/>
        </w:rPr>
      </w:pPr>
      <w:r>
        <w:rPr>
          <w:rFonts w:ascii="Times New Roman" w:cs="Times New Roman" w:eastAsia="Times New Roman" w:hAnsi="Times New Roman"/>
          <w:sz w:val="18"/>
          <w:szCs w:val="18"/>
          <w:color w:val="auto"/>
        </w:rPr>
        <w:t>18,021,308</w:t>
      </w:r>
      <w:r>
        <w:rPr>
          <w:sz w:val="20"/>
          <w:szCs w:val="20"/>
          <w:color w:val="auto"/>
        </w:rPr>
        <w:tab/>
      </w:r>
      <w:r>
        <w:rPr>
          <w:rFonts w:ascii="Times New Roman" w:cs="Times New Roman" w:eastAsia="Times New Roman" w:hAnsi="Times New Roman"/>
          <w:sz w:val="18"/>
          <w:szCs w:val="18"/>
          <w:color w:val="auto"/>
        </w:rPr>
        <w:t>12,814,826</w:t>
      </w:r>
    </w:p>
    <w:p>
      <w:pPr>
        <w:spacing w:after="0" w:line="9"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18"/>
          <w:szCs w:val="18"/>
          <w:color w:val="auto"/>
        </w:rPr>
        <w:t>(2,281,272)</w:t>
      </w:r>
      <w:r>
        <w:rPr>
          <w:sz w:val="20"/>
          <w:szCs w:val="20"/>
          <w:color w:val="auto"/>
        </w:rPr>
        <w:tab/>
      </w:r>
      <w:r>
        <w:rPr>
          <w:rFonts w:ascii="Times New Roman" w:cs="Times New Roman" w:eastAsia="Times New Roman" w:hAnsi="Times New Roman"/>
          <w:sz w:val="18"/>
          <w:szCs w:val="18"/>
          <w:color w:val="auto"/>
        </w:rPr>
        <w:t>4,599,887</w:t>
      </w:r>
    </w:p>
    <w:p>
      <w:pPr>
        <w:spacing w:after="0" w:line="9" w:lineRule="exact"/>
        <w:rPr>
          <w:sz w:val="20"/>
          <w:szCs w:val="20"/>
          <w:color w:val="auto"/>
        </w:rPr>
      </w:pPr>
    </w:p>
    <w:p>
      <w:pPr>
        <w:jc w:val="both"/>
        <w:ind w:left="640"/>
        <w:spacing w:after="0"/>
        <w:tabs>
          <w:tab w:leader="none" w:pos="1880" w:val="left"/>
        </w:tabs>
        <w:rPr>
          <w:sz w:val="20"/>
          <w:szCs w:val="20"/>
          <w:color w:val="auto"/>
        </w:rPr>
      </w:pPr>
      <w:r>
        <w:rPr>
          <w:rFonts w:ascii="Times New Roman" w:cs="Times New Roman" w:eastAsia="Times New Roman" w:hAnsi="Times New Roman"/>
          <w:sz w:val="18"/>
          <w:szCs w:val="18"/>
          <w:color w:val="auto"/>
        </w:rPr>
        <w:t>67,972</w:t>
      </w:r>
      <w:r>
        <w:rPr>
          <w:sz w:val="20"/>
          <w:szCs w:val="20"/>
          <w:color w:val="auto"/>
        </w:rPr>
        <w:tab/>
      </w:r>
      <w:r>
        <w:rPr>
          <w:rFonts w:ascii="Times New Roman" w:cs="Times New Roman" w:eastAsia="Times New Roman" w:hAnsi="Times New Roman"/>
          <w:sz w:val="18"/>
          <w:szCs w:val="18"/>
          <w:color w:val="auto"/>
        </w:rPr>
        <w:t>(45,525)</w:t>
      </w:r>
    </w:p>
    <w:p>
      <w:pPr>
        <w:spacing w:after="0" w:line="27" w:lineRule="exact"/>
        <w:rPr>
          <w:sz w:val="20"/>
          <w:szCs w:val="20"/>
          <w:color w:val="auto"/>
        </w:rPr>
      </w:pPr>
    </w:p>
    <w:p>
      <w:pPr>
        <w:ind w:left="3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15,956,619</w:t>
      </w:r>
      <w:r>
        <w:rPr>
          <w:sz w:val="20"/>
          <w:szCs w:val="20"/>
          <w:color w:val="auto"/>
        </w:rPr>
        <w:tab/>
      </w:r>
      <w:r>
        <w:rPr>
          <w:rFonts w:ascii="Times New Roman" w:cs="Times New Roman" w:eastAsia="Times New Roman" w:hAnsi="Times New Roman"/>
          <w:sz w:val="18"/>
          <w:szCs w:val="18"/>
          <w:b w:val="1"/>
          <w:bCs w:val="1"/>
          <w:color w:val="auto"/>
        </w:rPr>
        <w:t>17,376,430</w:t>
      </w:r>
    </w:p>
    <w:p>
      <w:pPr>
        <w:spacing w:after="0" w:line="293"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Times New Roman" w:cs="Times New Roman" w:eastAsia="Times New Roman" w:hAnsi="Times New Roman"/>
          <w:sz w:val="18"/>
          <w:szCs w:val="18"/>
          <w:b w:val="1"/>
          <w:bCs w:val="1"/>
          <w:u w:val="single" w:color="auto"/>
          <w:color w:val="auto"/>
        </w:rPr>
        <w:t>$</w:t>
        <w:tab/>
        <w:t>20,660,980</w:t>
        <w:tab/>
        <w:t>$</w:t>
        <w:tab/>
        <w:t>21,595,314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15601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474" w:gutter="0" w:footer="0" w:header="0"/>
          <w:type w:val="continuous"/>
        </w:sectPr>
      </w:pPr>
    </w:p>
    <w:p>
      <w:pPr>
        <w:spacing w:after="0" w:line="9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reverse share split on January 14, 2025 (see Note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74" w:gutter="0" w:footer="0" w:header="0"/>
          <w:type w:val="continuous"/>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HAOXI HEALTH TECHNOLOGY LIMITED UNAUDITED CONDNESED CONSOLIDATED STATEMENTS OF OPERATIONS AND COMPREHENSIVE LOSS</w:t>
      </w:r>
    </w:p>
    <w:p>
      <w:pPr>
        <w:spacing w:after="0" w:line="38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33,828,346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23,954,998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(32,231,880)</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(23,474,605)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1,596,466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34,307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30,273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7,180,085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509,915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61,170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67,556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non-current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8,175,562</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607,744</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(6,579,096)</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(127,351)</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64,222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156,742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(loss),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38,642</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129,428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(6,540,454)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2,077</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(340,705)</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(234,610)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(6,881,159)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(232,533)</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(6,881,159)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(232,533)</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113,497</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(46,620)</w:t>
            </w:r>
          </w:p>
        </w:tc>
      </w:tr>
      <w:tr>
        <w:trPr>
          <w:trHeight w:val="250"/>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(6,767,662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4,487,756</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72,592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reverse share split on January 14, 2025 (see Note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(6,881,159)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40,200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6,020,046</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non-current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436,871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(513,188)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to suppliers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(2,992,883)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(545,599)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receivables and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114,235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 current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(1,054,970)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(20,237)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26,660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from customers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669,365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346,054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(60,933)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79,143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(2,266,626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(2,250,334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 in convertible bond</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to third parties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(1,044,625)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(4,500,000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(3,074,823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422,253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891,514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(473,342)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(895,344)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borrowings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(318,095)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 shareholder</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listing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the follow-on offering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6,200,861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7,749,921</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4,926,677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7,746,144</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Effect of foreign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3460"/>
        <w:spacing w:after="0" w:line="268" w:lineRule="auto"/>
        <w:rPr>
          <w:sz w:val="20"/>
          <w:szCs w:val="20"/>
          <w:color w:val="auto"/>
        </w:rPr>
      </w:pPr>
      <w:r>
        <w:rPr>
          <w:rFonts w:ascii="Times New Roman" w:cs="Times New Roman" w:eastAsia="Times New Roman" w:hAnsi="Times New Roman"/>
          <w:sz w:val="17"/>
          <w:szCs w:val="17"/>
          <w:b w:val="1"/>
          <w:bCs w:val="1"/>
          <w:color w:val="auto"/>
        </w:rPr>
        <w:t>Net (decrease) increase in cash and cash equivalents 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22,643</w:t>
      </w:r>
      <w:r>
        <w:rPr>
          <w:sz w:val="20"/>
          <w:szCs w:val="20"/>
          <w:color w:val="auto"/>
        </w:rPr>
        <w:tab/>
      </w:r>
      <w:r>
        <w:rPr>
          <w:rFonts w:ascii="Times New Roman" w:cs="Times New Roman" w:eastAsia="Times New Roman" w:hAnsi="Times New Roman"/>
          <w:sz w:val="18"/>
          <w:szCs w:val="18"/>
          <w:color w:val="auto"/>
        </w:rPr>
        <w:t>19,703</w:t>
      </w:r>
    </w:p>
    <w:p>
      <w:pPr>
        <w:spacing w:after="0" w:line="27"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(1,817,306)</w:t>
      </w:r>
      <w:r>
        <w:rPr>
          <w:sz w:val="20"/>
          <w:szCs w:val="20"/>
          <w:color w:val="auto"/>
        </w:rPr>
        <w:tab/>
      </w:r>
      <w:r>
        <w:rPr>
          <w:rFonts w:ascii="Times New Roman" w:cs="Times New Roman" w:eastAsia="Times New Roman" w:hAnsi="Times New Roman"/>
          <w:sz w:val="18"/>
          <w:szCs w:val="18"/>
          <w:b w:val="1"/>
          <w:bCs w:val="1"/>
          <w:color w:val="auto"/>
        </w:rPr>
        <w:t>2,440,690</w:t>
      </w:r>
    </w:p>
    <w:p>
      <w:pPr>
        <w:spacing w:after="0" w:line="9"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8,618,461</w:t>
      </w:r>
      <w:r>
        <w:rPr>
          <w:sz w:val="20"/>
          <w:szCs w:val="20"/>
          <w:color w:val="auto"/>
        </w:rPr>
        <w:tab/>
      </w:r>
      <w:r>
        <w:rPr>
          <w:rFonts w:ascii="Times New Roman" w:cs="Times New Roman" w:eastAsia="Times New Roman" w:hAnsi="Times New Roman"/>
          <w:sz w:val="18"/>
          <w:szCs w:val="18"/>
          <w:color w:val="auto"/>
        </w:rPr>
        <w:t>6,655,734</w:t>
      </w:r>
    </w:p>
    <w:p>
      <w:pPr>
        <w:spacing w:after="0" w:line="54" w:lineRule="exact"/>
        <w:rPr>
          <w:sz w:val="20"/>
          <w:szCs w:val="20"/>
          <w:color w:val="auto"/>
        </w:rPr>
      </w:pPr>
    </w:p>
    <w:p>
      <w:pPr>
        <w:spacing w:after="0"/>
        <w:tabs>
          <w:tab w:leader="none" w:pos="380" w:val="left"/>
          <w:tab w:leader="none" w:pos="1320" w:val="left"/>
          <w:tab w:leader="none" w:pos="1720" w:val="left"/>
        </w:tabs>
        <w:rPr>
          <w:sz w:val="20"/>
          <w:szCs w:val="20"/>
          <w:color w:val="auto"/>
        </w:rPr>
      </w:pPr>
      <w:r>
        <w:rPr>
          <w:rFonts w:ascii="Times New Roman" w:cs="Times New Roman" w:eastAsia="Times New Roman" w:hAnsi="Times New Roman"/>
          <w:sz w:val="18"/>
          <w:szCs w:val="18"/>
          <w:b w:val="1"/>
          <w:bCs w:val="1"/>
          <w:u w:val="single" w:color="auto"/>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6,801,155</w:t>
        <w:tab/>
        <w:t>$</w:t>
        <w:tab/>
        <w:t>9,096,424</w:t>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paid</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ACCUMULATED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22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4160" w:type="dxa"/>
            <w:vAlign w:val="bottom"/>
          </w:tcPr>
          <w:p>
            <w:pPr>
              <w:spacing w:after="0"/>
              <w:rPr>
                <w:sz w:val="20"/>
                <w:szCs w:val="20"/>
                <w:color w:val="auto"/>
              </w:rPr>
            </w:pPr>
          </w:p>
        </w:tc>
        <w:tc>
          <w:tcPr>
            <w:tcW w:w="2220" w:type="dxa"/>
            <w:vAlign w:val="bottom"/>
            <w:gridSpan w:val="6"/>
            <w:vMerge w:val="continue"/>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60" w:type="dxa"/>
            <w:vAlign w:val="bottom"/>
          </w:tcPr>
          <w:p>
            <w:pPr>
              <w:spacing w:after="0"/>
              <w:rPr>
                <w:sz w:val="20"/>
                <w:szCs w:val="20"/>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28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2,896,595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$12,814,826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4,599,887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(45,525)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17,376,430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(6,881,159)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(6,881,159)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56,467,391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141,169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6,008,463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6,149,632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103,019</w:t>
            </w:r>
          </w:p>
        </w:tc>
        <w:tc>
          <w:tcPr>
            <w:tcW w:w="16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103,219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directly related to issuing new shares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(905,000)</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113,497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113,497</w:t>
            </w:r>
          </w:p>
        </w:tc>
        <w:tc>
          <w:tcPr>
            <w:tcW w:w="0" w:type="dxa"/>
            <w:vAlign w:val="bottom"/>
          </w:tcPr>
          <w:p>
            <w:pPr>
              <w:spacing w:after="0"/>
              <w:rPr>
                <w:sz w:val="1"/>
                <w:szCs w:val="1"/>
                <w:color w:val="auto"/>
              </w:rPr>
            </w:pPr>
          </w:p>
        </w:tc>
      </w:tr>
      <w:tr>
        <w:trPr>
          <w:trHeight w:val="27"/>
        </w:trPr>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59,443,828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148,611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18,021,308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(2,281,272</w:t>
            </w:r>
          </w:p>
        </w:tc>
        <w:tc>
          <w:tcPr>
            <w:tcW w:w="14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67,972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15,956,619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1,289,600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10,589,916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723,207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(44,392)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11,271,955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6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7,745,903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7,749,921</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(46,620)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(46,620)</w:t>
            </w:r>
          </w:p>
        </w:tc>
        <w:tc>
          <w:tcPr>
            <w:tcW w:w="0" w:type="dxa"/>
            <w:vAlign w:val="bottom"/>
          </w:tcPr>
          <w:p>
            <w:pPr>
              <w:spacing w:after="0"/>
              <w:rPr>
                <w:sz w:val="1"/>
                <w:szCs w:val="1"/>
                <w:color w:val="auto"/>
              </w:rPr>
            </w:pPr>
          </w:p>
        </w:tc>
      </w:tr>
      <w:tr>
        <w:trPr>
          <w:trHeight w:val="27"/>
        </w:trPr>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2,896,400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18,335,819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490,674</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(91,012</w:t>
            </w:r>
          </w:p>
        </w:tc>
        <w:tc>
          <w:tcPr>
            <w:tcW w:w="14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18,742,723</w:t>
            </w:r>
          </w:p>
        </w:tc>
        <w:tc>
          <w:tcPr>
            <w:tcW w:w="0" w:type="dxa"/>
            <w:vAlign w:val="bottom"/>
          </w:tcPr>
          <w:p>
            <w:pPr>
              <w:spacing w:after="0"/>
              <w:rPr>
                <w:sz w:val="1"/>
                <w:szCs w:val="1"/>
                <w:color w:val="auto"/>
              </w:rPr>
            </w:pPr>
          </w:p>
        </w:tc>
      </w:tr>
      <w:tr>
        <w:trPr>
          <w:trHeight w:val="21"/>
        </w:trPr>
        <w:tc>
          <w:tcPr>
            <w:tcW w:w="4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reverse share split on January 14, 2025 (see Note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Haoxi Health Technology Limited (“Haoxi”) is a company incorporated under the laws of the Cayman Islands on August 5, 2022. It is a holding company with no business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30, 2022, Haoxi formed its wholly owned subsidiary, Haoxi Information Limited (“Haoxi HK”), in Hong Kong. On October 13, 2022, Haoxi HK formed its wholly owned subsidiary, Beijing Haoxi Health Technology Co., Limited (“WFOE”), in the PRC (the “PRC”).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Haoxi Digital Technology Co., Ltd. (“Haoxi BJ”) is a limited liability company incorporated on September 26, 2018, under the laws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25, 2022, WFOE acquired 100% equity interest of Haoxi BJ, as a result, Haoxi BJ became a wholly-owned subsidiary of WFOE.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below, Haoxi, through a restructuring was accounted for as a reorganization of entities under common control (the “Reorganization”), became the ultimate parent entity of its subsidiary, Haoxi BJ. Accordingly, Haoxi consolidates Haoxi BJ’s operations, assets, and liabilities. Haoxi and its subsidiaries, are collectively hereinafter referred as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Haoxi together with its wholly owned subsidiaries, Haoxi HK, WFOE, and Haoxi BJ, were controlled by the same shareholders before and after the Reorganization and, therefore, the Reorganization is considered one for entities under common control. The consolidation of the Company was accounted for at historical cost and prepared on the basis as if the Reorganization had become effective as of the beginning of the first period presented in the consolidated financial statements (“CFS”).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corporate structure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154305</wp:posOffset>
            </wp:positionV>
            <wp:extent cx="4732020" cy="2108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320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pursuant to the rules and regulations of the U.S. Securities Exchange Commission (the “SEC”). The accompanying unaudited condensed consolidated financial statements include the financial statements of the Company and its subsidiaries. All intercompany balances and transactions are eliminated upon consolidation. Accordingly, certain information and footnote disclosures normally included in annual financial statements prepared in accordance with U.S. GAAP have been omitted pursuant to the afore-mentioned SEC rules and regulations. These unaudited condensed consolidated financial statements should be read in conjunction with the audited consolidated financial statements and notes thereto for the fiscal years ended 2025 and 2024. Operating results for the six-month period ended December 31, 2025 are not necessarily indicative of the results that may be expected for the year ending June 30,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financial statements of the Company, its subsidiaries for which the Company exercises control and, when applicable, entities in which the Company has a controlling financial interest or the ultimate primary beneficiary.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transactions and balances between the Company and its subsidiaries were eliminated in the consolidation.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in conformity with U.S. GAAP, management makes estimates and assumptions that affect the reported amounts of assets and liabilities and disclosures of contingent assets and liabilities at the dates of the unaudited condensed consolidated financial statements, as well as the reported amounts of revenue and expenses during the reporting periods. Significant items subject to such estimates and assumptions include, but are not limited to, the assessment of the allowance for expected credit loss, useful lives of property and equipment and intangible assets, impairment of long-lived assets, realization of deferred tax assets.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includes cash on hand and demand deposits placed with banks or other financial institutions, which are unrestricted as to withdrawal or use in accounts maintained with commercial banks. The Company maintains bank accounts in mainland China. Cash balances in bank accounts in mainland China are not insured by the Federal Deposit Insurance Corporation or other programs. Cash balances in bank accounts in mainland China within the People’s Republic of China of less than RMB 500,000 (equivalent to $71,136) per bank are covered by “deposit insurance regulation” promulgated by the State Council of the People’s Republic of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Accounts receivables,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presented net of an allowance for credit losses. The Company maintains an allowance for credit losses for estimated losses. Pursuant to the requirements of the Financial Accounting Standards Board’s Accounting Standards Codification Topic 326, Financial Instruments - Credit Losses (“ASC 326”), we measure credit losses utilizing a methodology that reflects expected credit losses and consider a broader range of reasonable and supportable information to inform credit loss estimates. We determine an allowance for doubtful accounts based on historical customer experience and other currently available evidence. When a specific account is deemed uncollectible, the account is written off against the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Advances to suppliers,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to suppliers represent balances paid to suppliers for services that have not been provided or received. The Company reviews its advances to suppliers periodically and makes general and specific allowances when there is doubt as to the ability of a supplier to provide supplies to the Company or refund an advance.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Investment in convertible bond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a convertible debt security (the “Convertible debt”) issued by a third party (the “Issuer”). The Convertible debt is classified as a held-to-maturity (“HTM”) debt security in accordance with ASC 320, Investments — Debt Securities. This classification reflects the Company’s positive intent and ability to hold the Convertible debt until its contractual maturity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formally determined that the primary investment objective is to earn a stable stream of contractual interest income. The Company has no present intention to exercise the conversion option embedded in the Convertible debt, except in the remote scenario that specific, objectively determinable adverse conditions materialize that would otherwise result in a significant loss of principal. Management has assessed the probability of such conditions as remote as of the reporting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embedded conversion option has not been bifurcated from the host debt instrument. Because the Company is the holder (rather than the issuer) of the Convertible debt, ASC 815-15, Derivatives and Hedging — Embedded Derivatives, does not require the Company to separate the equity conversion feature from the debt host. Accordingly, the entire instrument is accounted for as a single debt security under ASC 320.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Convertible debt is recognized on the settlement date and is initially measured at cost, which includes the purchase price plus directly attributable transaction costs. The initial carrying amount represents the amortized cost basis at inception.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difference between the initial cost and the par value of the Convertible debt constitutes a purchase premium or discount, which is amortized over the remaining contractual term of the instrument. As of December 31, 2025, the carrying amount of the convertible bond investment was $4.5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and recognizes an allowance for credit losses on the Convertible debt at each reporting date in accordance with ASC 326-20, Financial Instruments — Credit Losses: Measured at Amortized Cost. As of December 31, 2025, no allowance for expected credit loss for the Convertible debt was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carried at cost and are depreciated on the straight-line basis over the estimated useful lives of the underlying assets. The cost of repairs and maintenance is expensed as incurred; major replacements and improvements are capitalized. When assets are retired or disposed of, the cost and accumulated depreciation and amortization are removed from the accounts, and any resulting gains or losses are included in income in the year of disposition. The Company examines the possibility of decreases in the value of its property and equipment when events or changes in circumstances reflect the fact that their recorded value may not be recoverable.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useful lives are as follows, taking into account the assets’ estimated residual value:</w:t>
            </w:r>
          </w:p>
        </w:tc>
        <w:tc>
          <w:tcPr>
            <w:tcW w:w="122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Intangible assets, net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assets include digital assets purchased from third parties, mainly 3D modeling models for various scenarios, which are carried at cost less accumulated amortization and impairment loss, if any. Intangible assets with finite lives are amortized using the straight-line method over the estimated economic live.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Estimated useful lives are as follows:</w:t>
            </w:r>
          </w:p>
        </w:tc>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410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5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655"/>
        </w:trPr>
        <w:tc>
          <w:tcPr>
            <w:tcW w:w="41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color w:val="auto"/>
              </w:rPr>
              <w:t>F-8</w:t>
            </w:r>
          </w:p>
        </w:tc>
      </w:tr>
    </w:tbl>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long-lived assets, including definitive-lived intangible assets and property and equipment, for impairment whenever events or changes in circumstances indicate the carrying amount of an asset may not be recoverable. When such events occur, the Company assesses the recoverability of the asset group based on the undiscounted future cash flows the asset group is expected to generate and recognizes an impairment loss when estimated undiscounted future cash flows expected to result from the use of the asset group plus net proceeds expected from disposition of the asset group, if any, is less than the carrying value of the asset group. If the Company identifies an impairment, the Company reduces the carrying amount of the asset group to its estimated fair value (“FV”) based on a discounted cash flow approach or, when available and appropriate, to comparable market values and the impairment loss, if any, is recognized in “Others, net” in the consolidated statements of comprehensive income (loss). The Company uses estimates and judgments in its impairment tests and if different estimates or judgments had been utilized, the timing or the amount of any impairment charges could be different. Asset groups to be disposed of would be reported at the lower of the carrying amount or FV less costs to sell, and no longer depreciated.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fluctuations in the external environment, particularly the rapid iteration of artificial intelligence technologies, and changes in internal operations, the Company performed a recoverability test on intangible assets. The results indicated that the relevant long-lived assets were impaired as of December 31, 2025. As the estimated fair value of these assets was below their carrying amount, the Company recognized an impairment loss of $900,000.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825-10 requires certain disclosures regarding the FV of financial instruments. FV is defined as the price that would be received to sell an asset or paid to transfer a liability in an orderly transaction between market participants at the measurement date. A three-level FV hierarchy prioritizes the inputs used to measure FV. The hierarchy requires entities to maximize the use of observable inputs and minimize the use of unobservable inputs. The three levels of inputs used to measure FV are as follows:</w:t>
      </w:r>
    </w:p>
    <w:p>
      <w:pPr>
        <w:spacing w:after="0" w:line="207" w:lineRule="exact"/>
        <w:rPr>
          <w:sz w:val="20"/>
          <w:szCs w:val="20"/>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- 1  inputs to the valuation methodology are quoted prices (unadjusted) for identical assets or liabilities in active markets.</w:t>
      </w:r>
    </w:p>
    <w:p>
      <w:pPr>
        <w:spacing w:after="0" w:line="279" w:lineRule="exact"/>
        <w:rPr>
          <w:rFonts w:ascii="Times New Roman" w:cs="Times New Roman" w:eastAsia="Times New Roman" w:hAnsi="Times New Roman"/>
          <w:sz w:val="18"/>
          <w:szCs w:val="18"/>
          <w:color w:val="auto"/>
        </w:rPr>
      </w:pPr>
    </w:p>
    <w:p>
      <w:pPr>
        <w:ind w:left="1540" w:right="40" w:hanging="1154"/>
        <w:spacing w:after="0" w:line="266" w:lineRule="auto"/>
        <w:tabs>
          <w:tab w:leader="none" w:pos="7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- 2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22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- 3  inputs to the valuation methodology are unobservable.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disclosed, the Company’s financial instruments including cash, restricted cash, accounts receivable, advances to suppliers and other current assets, short-term bank loans, accounts payable, advance from customers, due to related parties and accrued expenses and other current liabilities approximate their recorded values due to their short-term maturities. The FV of longer-term leases approximates their recorded values as their stated interest rates approximate the rates currently available.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liabilities were measured at fair value using unobservable inputs and categorized in Level 3 of the fair value hierarchy.(See Note 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non-financial assets, such as property and equipment would be measured at FV only if they were determined to be impaired.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Advance from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presents the consideration that a customer pays before the Company transfers a service to the customer as an advance from customers when the payment is made. Based on the industry characteristics, customers usually need to pay a certain amount of advance payment before placing advertisements on the media. The average settlement cycle of the Company’s advances from customers is around 90 days, and there is no issue of long-term outstanding accounts. As of December 31, 2025 and June 30, 2025, the balances of advances received were $1,224,178 and $537,646 respectively, both representing obligations under signed contracts that have not been fulfilled yet.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Accounting Standards Update (“ASU”) 2016-02, Leases (as amended by ASU 2018-01, 2018-10, 2018-11, 2018-20, and 2019-01, collectively “ASC 842”), using the modified retrospective method. The Company elected not to record assets and liabilities on its consolidated balance sheet for new or existing lease arrangements with terms of 12 months or less. The Company recognizes lease expenses for such lease on a straight-line basis over the lease term.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commencement date of a lease, the Company recognizes a lease liability for future fixed lease payments and a right of use (“ROU”) asset representing the right to use the underlying asset during the lease term. The lease liability is initially measured as the present value of the future fixed lease payments that will be made over the lease term. The lease term includes periods for which it’s reasonably certain that the renewal options will be exercised and periods for which it’s reasonably certain that the termination options will not be exercised. The future fixed lease payments are discounted using the rate implicit in the lease, if available, or the incremental borrowing rate (“IBR”). The Company will evaluate the carrying value of ROU assets if there are indicators of impairment and review the recoverability of the related asset group. If the carrying value of the asset group is determined to not be recoverable and is in excess of the estimated fair value, the Company will record an impairment loss in other expenses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an online marketing solutions provider which provides customer-tailored internet marketing services based on data analysis technology.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revenue is primarily derived from providing online advertising services. Revenue represents the amount of consideration that the Company is entitled to in exchange for the transfer of promised services in the ordinary course of the Company’s activities and is recorded net of value-added tax (“VAT”). Consistent with the criteria of ASC 606, the Company recognizes revenue when the performance obligation in a contract is satisfied by transferring the control of a promised service to a customer. The Company also evaluates whether it is appropriate to record the gross amounts of services sold and the related costs, or the net amounts earned as commissions. Payments for services are generally received after deliveries. In the event the Company receives an advance from a customer, such advance is recorded as a liability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Online Marketing Solutions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one-stop online marketing solutions, including traffic acquisition from top online media platforms, content production, data analysis and advertising campaign optimization, to its advertisers. The term “traffic acquisition” refers to the process of advertising and acquiring a target audience on online media platforms. The Company’s revenue is performance-based as measured by ad performance data, and pricing model, and it primarily bills their advertisers using Cost Per Mille (“CPM”) model.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CPM, which stands for Cost Per Mille, is a mobile advertising pricing model. In this model, when internet users view an advertisement one thousand times, the advertiser needs to pay the huge platform or the Company, and the fee is calculated by multiplying the cost per thousand impressions charged to the advertiser by the number of impressions.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Media partners may also grant to it rebates mainly based on gross advertisement spending (i) in the form of advance for future traffic acquisition; (ii) to net off the account payables the Company owed to them; or (iii) in cash.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this business model, the Company is the primary obligor and responsible for (i) identifying and contracting with third-party advertisers which the Company views as customers, and delivering the specified integrated services to the advertisers; (ii) bearing certain risks of loss to the extent that the cost incurred for producing contents, formulating advertisement campaign and acquiring user traffic from online media platforms cannot be compensated by the total consideration received from the advertisers, which is similar to inventory risk; and (iii) performing all the billing and collection activities, including retaining credit risk. The Company assumes ownership of the specified service before it is delivered to the advertiser and acts as the principal of these arrangements and therefore recognizes revenue earned and costs incurred related to these transactions on a gross basis. Under this business model, the rebates earned from media partners are recorded as a reduction of cost of services.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core principle underlying revenue recognition in ASC 606 is that the Company recognizes revenue for the transfer of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The Company’s advertising service contracts have one single performance obligation, being the promise to display customers’ advertisement on the media platform. The services, such as content production, data analysis and advertising campaign optimizations, are performed as inputs to produce or deliver the output specified by the customer, and are interrelated, thus each of services cannot be separately performed to fulfil the promise and is, therefore, not distinct. Under ASC 606, the relevant revenue recognition methods are as follows: The Company provides ad delivery services to customers on the Oneline Platform under the CPM model. The transfer of service control is determined by “every one thousand valid ad impressions completed”. When the ad completes one thousand impressions, the revenue will be recognized simultaneously.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requirements of ASC 606, when an advertisement completes each thousand-impression unit, control of the service is transferred to the customer. At this point, the point-in-time criteria for revenue recognition are met. The Company calculates the transaction price to be recognized in the current period using the formula “agreed-upon CPM unit price*number of completed thousand-impression units” and recognizes revenue based on this calculation.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Cost of revenue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cost of revenue is costs for providing marketing solution services on an incurred basis, and consists primarily of the purchase of online traffic from third-party media platforms after deducting rebates, and salaries and benefits for staff providing marketing solution services including content production, data analysis and advertising campaign optimizations.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projects, primarily consist of salaries and other employee benefits. All costs associated with research and development are expensed as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Income tax</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subsidiaries in mainland China and Hong Kong are subject to the income tax laws of mainland China and Hong Kong. No taxable income was generated outside the PRC for the six months ended December 31, 2025 and 2024. The Company accounts for Income tax in accordance with ASC 740, Income tax. ASC 740 requires an asset and liability approach for financial accounting and reporting for Income tax and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future deductibility is uncertain.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740-10-25 prescribes a more-likely-than-not threshold for financial statement recognition and measurement of a tax position taken (or expected to be taken) in a tax return. It also provides guidance on the recognition of income tax assets and liabilities, classification accounting for interest and penalties associated with tax positions, years open for tax examination, accounting for Income tax in interim periods and income tax disclosures. There were no material uncertain tax positions as of December 31,2025 and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Value added tax (“VAT”)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revenue is the invoiced value of goods, net of VAT. The VAT is based on gross sales price and VAT rate is approximately 6%. The VAT may be offset by VAT paid by the Company on raw materials and other materials included in the cost of producing or acquiring its finished products. The Company recorded a VAT payable or receivable net of payments in the accompanying CFS. All of the VAT returns filed by the Company’s subsidiaries in the PRC, remain subject to examination by the tax authorities for five years from the date of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Warrant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the warrants issued in connection with ordinary shares in accordance with Accounting Standards Codification (“ASC”) 815-40, Derivatives and Hedging - Contracts in Entity’s Own Equity (“ASC 815-40”).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815-40 establishes criteria to determine whether a warrant (or similar contract) should be classified as equity or a liability. Specifically, a warrant is classified as equity only if it meets the “fixed-for-fixed” condition—i.e., it entitles the holder to receive a fixed number of the entity’s own shares in exchange for a fixed amount of cash or other consideration, with no provisions that could result in variable settlement (such as downward adjustments to the exercise price, contingent settlement based on future events, or mandatory cash settlement). If a warrant fails to meet these criteria (e.g., due to variable settlement terms), it is classified as a liability.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warrants do not meet the “fixed-for-fixed” condition for equity classification under ASC 815-40, and thus are accounted for as liabilities. Accordingly, at initial recognition, the Company measures such warrants at their fair value and classifies them as liabilities. This warrant liability is re-measured at each balance sheet date until exercised or expired, with any changes in fair value recognized in the consolidated statements of operations. As of December 31, 2025, the cumulative change in fair value of the warrant liability was $6.76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EPS takes into account the potential dilution that could occur if securities or other contracts to issue ordinary shares were exercised and converted into ordinary shares. As of December 31,2025 and December 31, 2024, there were no dilutive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Comprehensive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consists of two components, net loss and other comprehensive income (loss). Other comprehensive income (loss) refers to revenue, expenses, gains, and losses that under U.S. GAAP are recorded as an element of stockholders’ equity but are excluded from net loss. Other comprehensive income (loss) consists of foreign currency translation adjustment from the Company not using U.S. dollar as its functional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Foreign currency translation and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principal country of operations is the PRC. The financial position and results of its operations are determined using RMB, the local currency, as the functional currency. The Company’s CFS are reported in the U.S. Dollars (“US$” or “$”). The results of operations and the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for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Company’s Consolidated Statements of Operations and Comprehensive Income.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RMB against US$ and other currencies may fluctuate and is affected by, among other things, changes in the PRC’s political and economic conditions. Any significant revaluation of RMB may materially affect the Company’s financial condition in terms of US$ reporting. The following table outlines the currency exchange rates that were used in preparing the unaudited CFS: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Profits/Loss</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Profits/Loss</w:t>
            </w: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RMB:USD1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 Segment reporting</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management approach considers the internal organization and reporting used by the Company’s chief operating decision maker (“CODM”) for making decisions, allocating resources and assessing performance. The Company’s CODM has been identified as the CEO, who reviews consolidated results when making decisions about allocating resources and assessing performance of the Company.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management’s assessment, the Company determined it has only one operating segment and therefore one reportable segment as defined by ASC 280. The Company’s assets are substantially all located in the PRC and substantially all of the Company’s revenues and expenses are derived from the PRC. Therefore, no geographical segments are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Significant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expense transactions and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Company foreign exchange regulatory bodies which require certain supporting documentation in order to affect the remittances.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bank accounts in the PRC. On May 1, 2015, China’s new Deposit Insurance Regulation came into effect, pursuant to which banking financial institutions, such as commercial banks, established in the PRC are required to purchase deposit insurance for deposits in RMB and in foreign currency placed with them. Such Deposit Insurance Regulation would not provide complete protection for the Company’s accounts, as its aggregate deposits are higher than the compensation limit, which is RMB500,000 for one bank ($71,136). However, the Company believes the risk of failure of any of these Chinese banks is remote. Bank failure is uncommon in the PRC and the Company believes those Chinese banks that hold the Company’s cash, restricted cash and short-term investments are financially sound based on publicly available information. Other than the deposit insurance mechanism in the PRC mentioned above, the Company’s bank accounts are not insured by Federal Deposit Insurance Corporation insurance or other insurance.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and credit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all of the Company’s operations are in the PRC. Accordingly, the Company’s business, financial condition and results of operations may be influenced by the political, economic and legal environment in the PRC, and by the general state of the PRC’s economy. The Company’s operations in the PRC are subject to specific considerations and significant risks not typically associated with companies in U.S. The Company’s results may be adversely affected by changes in governmental policies with respect to laws and regulations, anti-inflationary measures, currency conversion and remittances abroad, and rates and methods of taxation, among other things.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restricted cash, accounts receivable, accounts receivable – related parties, advances to suppliers and amounts due from related parties. A portion of the Company’s sales are credit sales to customers whose ability to pay is dependent upon industry economics prevailing in these areas; however, concentrations of credit risk with respect to trade accounts receivable is limited due to generally short payment terms. The Company also performs ongoing credit evaluations of its customers to help further reduce credit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the Company’s financial condition and results of operations. The Company is exposed to floating interest rate risk on cash deposits and borrowings, and the risks due to changes in interest rates is not material. The Company has not used any derivative financial instruments to manage the Company’s interest risk exposure.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uncertainty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major operations are conducted in the PRC. Accordingly, the political, economic, and legal environments in the PRC, as well as the general state of the PRC’s economy may influence the Company’s business, financial condition,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major operations in the PRC are subject to special considerations and significant risks not typically associated with companies in U.S. These include risks associated with, among others, the political, economic, and legal environment. The Company’s results may be adversely affected by changes in governmental policies with respect to laws and regulations, anti-inflationary measures, and rates and methods of taxation, among other things. Although the Company has not experienced losses from these situations and believes that it is in compliance with existing laws and regulations including its organization and structure disclosed in Note 1, this may not be indicative of future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Related parties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party is considered related to the Company if it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Management periodically reviews new accounting standards that are issued. The Company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 (Topic 740): Improvements to Income Tax Disclosures, which requires, among other things, additional disclosures primarily for the income tax rate reconciliation and Income tax paid. The expanded annual disclosures are effective for the year ending December 31, 2025. The Company adopted ASU 2023-09 as of December 31, 2025, with no material impact on its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Early adoption is permitted. This ASU may be applied either prospectively to financial statements issued for reporting periods after its effective date or retrospectively to all prior periods presented in the financial statements. The Company is in the process of evaluating the potential impact of the new guidance on its consolidated financial statements and related disclosures.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Company’s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r>
        <w:rPr>
          <w:rFonts w:ascii="Times New Roman" w:cs="Times New Roman" w:eastAsia="Times New Roman" w:hAnsi="Times New Roman"/>
          <w:sz w:val="18"/>
          <w:szCs w:val="18"/>
          <w:color w:val="auto"/>
        </w:rPr>
        <w: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expected credit loss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 of allowance for credit loss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ADVANCES TO SUPPLIERS,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to suppliers,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255"/>
        <w:spacing w:after="0" w:line="263" w:lineRule="auto"/>
        <w:rPr>
          <w:sz w:val="20"/>
          <w:szCs w:val="20"/>
          <w:color w:val="auto"/>
        </w:rPr>
      </w:pPr>
      <w:r>
        <w:rPr>
          <w:rFonts w:ascii="Times New Roman" w:cs="Times New Roman" w:eastAsia="Times New Roman" w:hAnsi="Times New Roman"/>
          <w:sz w:val="18"/>
          <w:szCs w:val="18"/>
          <w:color w:val="auto"/>
        </w:rPr>
        <w:t>Advances for products and services purchasing from third parties Less: allowance for expected credit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Advances to suppliers,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r>
      <w:tr>
        <w:trPr>
          <w:trHeight w:val="198"/>
        </w:trPr>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479,772</w:t>
            </w:r>
          </w:p>
        </w:tc>
        <w:tc>
          <w:tcPr>
            <w:tcW w:w="60" w:type="dxa"/>
            <w:vAlign w:val="bottom"/>
          </w:tcPr>
          <w:p>
            <w:pPr>
              <w:spacing w:after="0"/>
              <w:rPr>
                <w:sz w:val="18"/>
                <w:szCs w:val="18"/>
                <w:color w:val="auto"/>
              </w:rPr>
            </w:pPr>
          </w:p>
        </w:tc>
      </w:tr>
      <w:tr>
        <w:trPr>
          <w:trHeight w:val="248"/>
        </w:trPr>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(19,860)</w:t>
            </w: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(19,500)</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460,272</w:t>
            </w:r>
          </w:p>
        </w:tc>
        <w:tc>
          <w:tcPr>
            <w:tcW w:w="60" w:type="dxa"/>
            <w:vAlign w:val="bottom"/>
          </w:tcPr>
          <w:p>
            <w:pPr>
              <w:spacing w:after="0"/>
              <w:rPr>
                <w:sz w:val="21"/>
                <w:szCs w:val="2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8"/>
        </w:trPr>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
        <w:spacing w:after="0"/>
        <w:tabs>
          <w:tab w:leader="none" w:pos="1565"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7"/>
          <w:szCs w:val="17"/>
          <w:b w:val="1"/>
          <w:bCs w:val="1"/>
          <w:color w:val="auto"/>
        </w:rPr>
        <w:t>June 30,</w:t>
      </w:r>
    </w:p>
    <w:p>
      <w:pPr>
        <w:spacing w:after="0" w:line="31"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125"/>
        <w:spacing w:after="0"/>
        <w:rPr>
          <w:sz w:val="20"/>
          <w:szCs w:val="20"/>
          <w:color w:val="auto"/>
        </w:rPr>
      </w:pPr>
      <w:r>
        <w:rPr>
          <w:rFonts w:ascii="Times New Roman" w:cs="Times New Roman" w:eastAsia="Times New Roman" w:hAnsi="Times New Roman"/>
          <w:sz w:val="18"/>
          <w:szCs w:val="18"/>
          <w:color w:val="auto"/>
        </w:rPr>
        <w:t>(Unaudited)</w:t>
      </w:r>
    </w:p>
    <w:p>
      <w:pPr>
        <w:spacing w:after="0" w:line="27" w:lineRule="exact"/>
        <w:rPr>
          <w:sz w:val="20"/>
          <w:szCs w:val="20"/>
          <w:color w:val="auto"/>
        </w:rPr>
      </w:pPr>
    </w:p>
    <w:p>
      <w:pPr>
        <w:ind w:left="405" w:hanging="405"/>
        <w:spacing w:after="0"/>
        <w:tabs>
          <w:tab w:leader="none" w:pos="4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8,803,639   $   5,699,738</w:t>
      </w:r>
    </w:p>
    <w:p>
      <w:pPr>
        <w:spacing w:after="0" w:line="9" w:lineRule="exact"/>
        <w:rPr>
          <w:rFonts w:ascii="Times New Roman" w:cs="Times New Roman" w:eastAsia="Times New Roman" w:hAnsi="Times New Roman"/>
          <w:sz w:val="18"/>
          <w:szCs w:val="18"/>
          <w:color w:val="auto"/>
        </w:rPr>
      </w:pPr>
    </w:p>
    <w:p>
      <w:pPr>
        <w:ind w:left="3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(1,427,202)—</w:t>
      </w:r>
    </w:p>
    <w:p>
      <w:pPr>
        <w:spacing w:after="0" w:line="58"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7,376,437</w:t>
        <w:tab/>
        <w:t>$</w:t>
      </w:r>
      <w:r>
        <w:rPr>
          <w:sz w:val="20"/>
          <w:szCs w:val="20"/>
          <w:color w:val="auto"/>
        </w:rPr>
        <w:tab/>
      </w:r>
      <w:r>
        <w:rPr>
          <w:rFonts w:ascii="Times New Roman" w:cs="Times New Roman" w:eastAsia="Times New Roman" w:hAnsi="Times New Roman"/>
          <w:sz w:val="18"/>
          <w:szCs w:val="18"/>
          <w:u w:val="single" w:color="auto"/>
          <w:color w:val="auto"/>
        </w:rPr>
        <w:t>5,699,738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5601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873" w:right="339" w:bottom="1440" w:gutter="0" w:footer="0" w:header="0"/>
        </w:sectPr>
      </w:pPr>
    </w:p>
    <w:p>
      <w:pPr>
        <w:spacing w:after="0" w:line="93"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discontinued the expansion of its overseas user acquisition and traffic investment business, the advances previously paid to overseas traffic suppliers are no longer expected to be recoverable. Accordingly, the Company has recognized an allowance for doubtful accounts related to such advances.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PREPAYMENTS, RECEIVABLES AND OTHER ASSETS,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 consisted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4"/>
                <w:szCs w:val="24"/>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Loans to third parties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4,585,103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4,585,103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132,956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268,924</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4,718,059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4,854,027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allowance for expected credit loss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(4,592,928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(27,938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125,131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4,826,089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category is loans issued to business partners for short-term working capital. The loan term is within 1 year, with an annual interest rate of 8%, and interest is paid semi-annually.</w:t>
      </w:r>
    </w:p>
    <w:p>
      <w:pPr>
        <w:spacing w:after="0" w:line="16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these, the US$1.5 million loan of Borrower A was extended on March 11, 2025, with the maturity date of the extended loan being March 12, 2026. The US$0.5 million loan of Borrower A was extended on June 16, 2025, and the maturity date of the extended loan is June 16, 2026. The US$1 million loan of Borrower A was matured on November 11, 2025. The US$1.02 million loan of Borrower B was extended on February 15, 2025, and the maturity date of the extended loan is February 15, 2026.</w:t>
      </w:r>
    </w:p>
    <w:p>
      <w:pPr>
        <w:spacing w:after="0" w:line="17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category is the funds facilitated to a third party for higher yield of idle funds. As of June 30, 2025, the company has paid a total of $500,000. The maturity date of this entrusted fund is 203 days, with a yield rate of 4.3%. Among this, $150,000 matured on August 13, 2025. The company re-entrusted the total matured principal and earnings of $153,587, and the updated maturity date is March 14, 2026. The maturity date of the remaining $350,000 entrusted fund is October 28, 2025.</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evaluated the recoverability of the aforementioned loans and entrusted funds. Based on its assessment, the Company concluded that there existed significant risks regarding the collectibility of these financial assets and accordingly recognized an allowance for credit losses amounting to US$4,585,103 in respect of such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Individual loan exceeding 5% of current assets are as following: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2"/>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31-Dec-25</w:t>
            </w:r>
          </w:p>
        </w:tc>
        <w:tc>
          <w:tcPr>
            <w:tcW w:w="2240" w:type="dxa"/>
            <w:vAlign w:val="bottom"/>
            <w:tcBorders>
              <w:bottom w:val="single" w:sz="8" w:color="auto"/>
            </w:tcBorders>
          </w:tcPr>
          <w:p>
            <w:pPr>
              <w:spacing w:after="0"/>
              <w:rPr>
                <w:sz w:val="24"/>
                <w:szCs w:val="24"/>
                <w:color w:val="auto"/>
              </w:rPr>
            </w:pPr>
          </w:p>
        </w:tc>
      </w:tr>
      <w:tr>
        <w:trPr>
          <w:trHeight w:val="19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Interest</w:t>
            </w:r>
          </w:p>
        </w:tc>
        <w:tc>
          <w:tcPr>
            <w:tcW w:w="224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40" w:type="dxa"/>
            <w:vAlign w:val="bottom"/>
          </w:tcPr>
          <w:p>
            <w:pPr>
              <w:spacing w:after="0"/>
              <w:rPr>
                <w:sz w:val="18"/>
                <w:szCs w:val="18"/>
                <w:color w:val="auto"/>
              </w:rPr>
            </w:pPr>
          </w:p>
        </w:tc>
      </w:tr>
      <w:tr>
        <w:trPr>
          <w:trHeight w:val="24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The Borrowers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Contract Term</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Borrowers 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2025.03.11-2026.03.12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Borrowers 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20,411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2024.11.12-2025.11.11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Borrowers B</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31,199</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2025.02.15-2026.02.15</w:t>
            </w:r>
          </w:p>
        </w:tc>
      </w:tr>
      <w:tr>
        <w:trPr>
          <w:trHeight w:val="453"/>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30-Jun-25</w:t>
            </w:r>
          </w:p>
        </w:tc>
        <w:tc>
          <w:tcPr>
            <w:tcW w:w="2240" w:type="dxa"/>
            <w:vAlign w:val="bottom"/>
            <w:tcBorders>
              <w:bottom w:val="single" w:sz="8" w:color="auto"/>
            </w:tcBorders>
          </w:tcPr>
          <w:p>
            <w:pPr>
              <w:spacing w:after="0"/>
              <w:rPr>
                <w:sz w:val="24"/>
                <w:szCs w:val="24"/>
                <w:color w:val="auto"/>
              </w:rPr>
            </w:pPr>
          </w:p>
        </w:tc>
      </w:tr>
      <w:tr>
        <w:trPr>
          <w:trHeight w:val="19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Interest</w:t>
            </w:r>
          </w:p>
        </w:tc>
        <w:tc>
          <w:tcPr>
            <w:tcW w:w="224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40" w:type="dxa"/>
            <w:vAlign w:val="bottom"/>
          </w:tcPr>
          <w:p>
            <w:pPr>
              <w:spacing w:after="0"/>
              <w:rPr>
                <w:sz w:val="18"/>
                <w:szCs w:val="18"/>
                <w:color w:val="auto"/>
              </w:rPr>
            </w:pPr>
          </w:p>
        </w:tc>
      </w:tr>
      <w:tr>
        <w:trPr>
          <w:trHeight w:val="24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The Borrowers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Contract Term</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Borrowers 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2025.03.11-2026.03.12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Borrowers 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20,411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2024.11.12-2025.11.11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Borrowers B</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31,199</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2025.02.15-2026.02.15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 movement of allowance of doubtful accounts is as follows:</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28,063</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4,564,990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5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vMerge w:val="continue"/>
            <w:shd w:val="clear" w:color="auto" w:fill="CCEEFF"/>
          </w:tcPr>
          <w:p>
            <w:pPr>
              <w:spacing w:after="0"/>
              <w:rPr>
                <w:sz w:val="21"/>
                <w:szCs w:val="21"/>
                <w:color w:val="auto"/>
              </w:rPr>
            </w:pP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4,592,928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27,938</w:t>
            </w:r>
          </w:p>
        </w:tc>
        <w:tc>
          <w:tcPr>
            <w:tcW w:w="0" w:type="dxa"/>
            <w:vAlign w:val="bottom"/>
          </w:tcPr>
          <w:p>
            <w:pPr>
              <w:spacing w:after="0"/>
              <w:rPr>
                <w:sz w:val="1"/>
                <w:szCs w:val="1"/>
                <w:color w:val="auto"/>
              </w:rPr>
            </w:pPr>
          </w:p>
        </w:tc>
      </w:tr>
      <w:tr>
        <w:trPr>
          <w:trHeight w:val="21"/>
        </w:trPr>
        <w:tc>
          <w:tcPr>
            <w:tcW w:w="50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jc w:val="right"/>
              <w:ind w:right="2890"/>
              <w:spacing w:after="0"/>
              <w:rPr>
                <w:sz w:val="20"/>
                <w:szCs w:val="20"/>
                <w:color w:val="auto"/>
              </w:rPr>
            </w:pPr>
            <w:r>
              <w:rPr>
                <w:rFonts w:ascii="Times New Roman" w:cs="Times New Roman" w:eastAsia="Times New Roman" w:hAnsi="Times New Roman"/>
                <w:sz w:val="18"/>
                <w:szCs w:val="18"/>
                <w:color w:val="auto"/>
              </w:rPr>
              <w:t>F-17</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00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stated at cost less accumulated depreciation,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$7,338 and $9,531 for the six months ended December 31,2025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r>
      <w:tr>
        <w:trPr>
          <w:trHeight w:val="198"/>
        </w:trPr>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155,753</w:t>
            </w:r>
          </w:p>
        </w:tc>
        <w:tc>
          <w:tcPr>
            <w:tcW w:w="60" w:type="dxa"/>
            <w:vAlign w:val="bottom"/>
          </w:tcPr>
          <w:p>
            <w:pPr>
              <w:spacing w:after="0"/>
              <w:rPr>
                <w:sz w:val="18"/>
                <w:szCs w:val="18"/>
                <w:color w:val="auto"/>
              </w:rPr>
            </w:pPr>
          </w:p>
        </w:tc>
      </w:tr>
      <w:tr>
        <w:trPr>
          <w:trHeight w:val="248"/>
        </w:trPr>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(55,137)</w:t>
            </w: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(46,854)</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108,899</w:t>
            </w:r>
          </w:p>
        </w:tc>
        <w:tc>
          <w:tcPr>
            <w:tcW w:w="60" w:type="dxa"/>
            <w:vAlign w:val="bottom"/>
          </w:tcPr>
          <w:p>
            <w:pPr>
              <w:spacing w:after="0"/>
              <w:rPr>
                <w:sz w:val="21"/>
                <w:szCs w:val="2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
        <w:spacing w:after="0"/>
        <w:tabs>
          <w:tab w:leader="none" w:pos="1565"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7"/>
          <w:szCs w:val="17"/>
          <w:b w:val="1"/>
          <w:bCs w:val="1"/>
          <w:color w:val="auto"/>
        </w:rPr>
        <w:t>June 30,</w:t>
      </w:r>
    </w:p>
    <w:p>
      <w:pPr>
        <w:spacing w:after="0" w:line="31"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125"/>
        <w:spacing w:after="0"/>
        <w:rPr>
          <w:sz w:val="20"/>
          <w:szCs w:val="20"/>
          <w:color w:val="auto"/>
        </w:rPr>
      </w:pPr>
      <w:r>
        <w:rPr>
          <w:rFonts w:ascii="Times New Roman" w:cs="Times New Roman" w:eastAsia="Times New Roman" w:hAnsi="Times New Roman"/>
          <w:sz w:val="18"/>
          <w:szCs w:val="18"/>
          <w:color w:val="auto"/>
        </w:rPr>
        <w:t>(Unaudited)</w:t>
      </w:r>
    </w:p>
    <w:p>
      <w:pPr>
        <w:spacing w:after="0" w:line="27" w:lineRule="exact"/>
        <w:rPr>
          <w:sz w:val="20"/>
          <w:szCs w:val="20"/>
          <w:color w:val="auto"/>
        </w:rPr>
      </w:pPr>
    </w:p>
    <w:p>
      <w:pPr>
        <w:ind w:left="405" w:hanging="405"/>
        <w:spacing w:after="0"/>
        <w:tabs>
          <w:tab w:leader="none" w:pos="4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2,080,000   $   2,080,000</w:t>
      </w:r>
    </w:p>
    <w:p>
      <w:pPr>
        <w:spacing w:after="0" w:line="9" w:lineRule="exact"/>
        <w:rPr>
          <w:rFonts w:ascii="Times New Roman" w:cs="Times New Roman" w:eastAsia="Times New Roman" w:hAnsi="Times New Roman"/>
          <w:sz w:val="18"/>
          <w:szCs w:val="18"/>
          <w:color w:val="auto"/>
        </w:rPr>
      </w:pPr>
    </w:p>
    <w:p>
      <w:pPr>
        <w:ind w:left="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(485,333)(277,333)</w:t>
      </w:r>
    </w:p>
    <w:p>
      <w:pPr>
        <w:spacing w:after="0" w:line="27" w:lineRule="exact"/>
        <w:rPr>
          <w:sz w:val="20"/>
          <w:szCs w:val="20"/>
          <w:color w:val="auto"/>
        </w:rPr>
      </w:pPr>
    </w:p>
    <w:p>
      <w:pPr>
        <w:sectPr>
          <w:pgSz w:w="11900" w:h="16838" w:orient="portrait"/>
          <w:cols w:equalWidth="0" w:num="2">
            <w:col w:w="8180" w:space="495"/>
            <w:col w:w="2565"/>
          </w:cols>
          <w:pgMar w:left="320" w:top="873" w:right="339" w:bottom="663" w:gutter="0" w:footer="0" w:header="0"/>
        </w:sectPr>
      </w:pPr>
    </w:p>
    <w:tbl>
      <w:tblPr>
        <w:tblLayout w:type="fixed"/>
        <w:tblInd w:w="0" w:type="dxa"/>
        <w:tblCellMar>
          <w:top w:w="0" w:type="dxa"/>
          <w:left w:w="0" w:type="dxa"/>
          <w:bottom w:w="0" w:type="dxa"/>
          <w:right w:w="0" w:type="dxa"/>
        </w:tblCellMar>
      </w:tblP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694,667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fluctuations in the external environment, particularly the rapid iteration of artificial intelligence technologies, and changes in internal operations, the Company performed a recoverability test on intangible assets. The results indicated that the relevant long-lived assets were impaired as of December 31, 2025. As the estimated fair value of these assets was below their carrying amount, the Company recognized an impairment loss of $900,000.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was $208,000 and $nil for the six months ended December 31,2025 and 2024, respectively</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Estimated Amortization Expenses: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Ending</w:t>
            </w:r>
          </w:p>
        </w:tc>
      </w:tr>
      <w:tr>
        <w:trPr>
          <w:trHeight w:val="245"/>
        </w:trPr>
        <w:tc>
          <w:tcPr>
            <w:tcW w:w="10020" w:type="dxa"/>
            <w:vAlign w:val="bottom"/>
          </w:tcPr>
          <w:p>
            <w:pPr>
              <w:spacing w:after="0"/>
              <w:rPr>
                <w:sz w:val="21"/>
                <w:szCs w:val="21"/>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181,217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181,217</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151,015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694,667</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2019, Haoxi BJ entered into an office lease with an individual (the “Landlord 1”). The lease was from July 1, 2019 to July 1, 2021, and annual rental was RMB431,460 ($65,103). On June 21, 2021, Haoxi BJ extended the lease to June 30, 2023, with an annual payment of RMB675,120 ($104,555), to be paid quarterly. On May 12, 2023, Haoxi BJ extended the lease from July 1, 2023 to March 31, 2024. On March 25, 2024, Haoxi BJ extended the lease from April 1, 2024 to June 30, 2024. On July 9, 2024, the Company renewed the lease from July 1, 2024 to June 30,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29, 2022, Haoxi BJ entered into an office lease with an individual (the “Landlord 2”) at Room 902, Unit 1, Floor 9, Wantong Tower, Jia No.6, Chao Yang Men Wai Ave., Chaoyang District, Beijing, China. The lease was from August 8, 2022 to August 7, 2024, and annual rental of RMB660,000 ($92,189) to be paid every four month, the Company renewed the lease from August 8, 2024 to August 7, 2025. The Company elected not to record an Operating lease right-of-use assets for short-term leases that have a term of less than 12 months. The cost of short-term leases was recognized in the consolidated statements of operations on a straight-line basis over the lease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leases do not contain any material residual value guarantees or material restrictive covenants, and the extended lease contract does not contain options to extend at the time of expiration.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40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920" w:type="dxa"/>
            <w:vAlign w:val="bottom"/>
            <w:gridSpan w:val="2"/>
            <w:shd w:val="clear" w:color="auto" w:fill="CCEEFF"/>
          </w:tcPr>
          <w:p>
            <w:pPr>
              <w:ind w:left="4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79,188</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920" w:type="dxa"/>
            <w:vAlign w:val="bottom"/>
            <w:gridSpan w:val="2"/>
          </w:tcPr>
          <w:p>
            <w:pPr>
              <w:ind w:left="4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79,188</w:t>
            </w:r>
          </w:p>
        </w:tc>
        <w:tc>
          <w:tcPr>
            <w:tcW w:w="0" w:type="dxa"/>
            <w:vAlign w:val="bottom"/>
          </w:tcPr>
          <w:p>
            <w:pPr>
              <w:spacing w:after="0"/>
              <w:rPr>
                <w:sz w:val="1"/>
                <w:szCs w:val="1"/>
                <w:color w:val="auto"/>
              </w:rPr>
            </w:pPr>
          </w:p>
        </w:tc>
      </w:tr>
      <w:tr>
        <w:trPr>
          <w:trHeight w:val="27"/>
        </w:trPr>
        <w:tc>
          <w:tcPr>
            <w:tcW w:w="4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vMerge w:val="continue"/>
            <w:shd w:val="clear" w:color="auto" w:fill="CCEEFF"/>
          </w:tcPr>
          <w:p>
            <w:pPr>
              <w:spacing w:after="0"/>
              <w:rPr>
                <w:sz w:val="21"/>
                <w:szCs w:val="21"/>
                <w:color w:val="auto"/>
              </w:rPr>
            </w:pPr>
          </w:p>
        </w:tc>
        <w:tc>
          <w:tcPr>
            <w:tcW w:w="4920" w:type="dxa"/>
            <w:vAlign w:val="bottom"/>
            <w:gridSpan w:val="2"/>
            <w:shd w:val="clear" w:color="auto" w:fill="CCEEFF"/>
          </w:tcPr>
          <w:p>
            <w:pPr>
              <w:ind w:left="4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79,188</w:t>
            </w:r>
          </w:p>
        </w:tc>
        <w:tc>
          <w:tcPr>
            <w:tcW w:w="0" w:type="dxa"/>
            <w:vAlign w:val="bottom"/>
          </w:tcPr>
          <w:p>
            <w:pPr>
              <w:spacing w:after="0"/>
              <w:rPr>
                <w:sz w:val="1"/>
                <w:szCs w:val="1"/>
                <w:color w:val="auto"/>
              </w:rPr>
            </w:pPr>
          </w:p>
        </w:tc>
      </w:tr>
      <w:tr>
        <w:trPr>
          <w:trHeight w:val="21"/>
        </w:trPr>
        <w:tc>
          <w:tcPr>
            <w:tcW w:w="40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663"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8 – LEASES </w:t>
            </w:r>
            <w:r>
              <w:rPr>
                <w:rFonts w:ascii="Times New Roman" w:cs="Times New Roman" w:eastAsia="Times New Roman" w:hAnsi="Times New Roman"/>
                <w:sz w:val="18"/>
                <w:szCs w:val="18"/>
                <w:color w:val="auto"/>
              </w:rPr>
              <w:t>(cont.)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and the weighted-average discount rate of the lease is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9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month</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operating lease liabilities as of December 31 ,2025: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months ending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i w:val="1"/>
                <w:iCs w:val="1"/>
                <w:color w:val="auto"/>
              </w:rPr>
              <w:t>Operating</w:t>
            </w:r>
          </w:p>
        </w:tc>
      </w:tr>
      <w:tr>
        <w:trPr>
          <w:trHeight w:val="216"/>
        </w:trPr>
        <w:tc>
          <w:tcPr>
            <w:tcW w:w="9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r>
      <w:tr>
        <w:trPr>
          <w:trHeight w:val="25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20,957</w:t>
            </w:r>
          </w:p>
        </w:tc>
        <w:tc>
          <w:tcPr>
            <w:tcW w:w="80" w:type="dxa"/>
            <w:vAlign w:val="bottom"/>
            <w:shd w:val="clear" w:color="auto" w:fill="CCEEFF"/>
          </w:tcPr>
          <w:p>
            <w:pPr>
              <w:spacing w:after="0"/>
              <w:rPr>
                <w:sz w:val="21"/>
                <w:szCs w:val="21"/>
                <w:color w:val="auto"/>
              </w:rPr>
            </w:pPr>
          </w:p>
        </w:tc>
      </w:tr>
      <w:tr>
        <w:trPr>
          <w:trHeight w:val="203"/>
        </w:trPr>
        <w:tc>
          <w:tcPr>
            <w:tcW w:w="99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20,957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(1,898)</w:t>
            </w:r>
          </w:p>
        </w:tc>
      </w:tr>
      <w:tr>
        <w:trPr>
          <w:trHeight w:val="237"/>
        </w:trPr>
        <w:tc>
          <w:tcPr>
            <w:tcW w:w="9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LONG TERM PAYABLE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2023, Beijing Haoxi signed an auto loan with Mercedes-Benz Auto Finance Co., Ltd. for RMB800,000 ($112,252) to purchase a car worth RMB1,000,000 ($140,315) with a down payment of RMB200,000 ($28,063). The loan repayment period is 3 years with a monthly installment of RMB24,698 ($3,466). Mr. Xu Lei was the guarantor. As of December 31, 2025 and June 30, 2025, long-term payable were $6,530 and $26,496 (current portion of $6,530 and non-current portion of $nil), respectively. As of December 31, 2025 and June 30, 2025, the unrecognized financing expense amortized was $12,183 and $10,093 , respectively. The remaining unrecognized financing expense was $498 and $2,395 ,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accounts payable-current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financing expense</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accounts payable-current,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99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accounts payable-non-current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financing expense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50"/>
        </w:trPr>
        <w:tc>
          <w:tcPr>
            <w:tcW w:w="9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accounts payable-non-current, net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weighted-average remaining loan term and the required rate of return required by the lender is as follows: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980" w:type="dxa"/>
            <w:vAlign w:val="bottom"/>
          </w:tcPr>
          <w:p>
            <w:pPr>
              <w:spacing w:after="0"/>
              <w:rPr>
                <w:sz w:val="24"/>
                <w:szCs w:val="24"/>
                <w:color w:val="auto"/>
              </w:rPr>
            </w:pPr>
          </w:p>
        </w:tc>
        <w:tc>
          <w:tcPr>
            <w:tcW w:w="12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99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2 month</w:t>
            </w: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required rate of return required by the lender</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655"/>
        </w:trPr>
        <w:tc>
          <w:tcPr>
            <w:tcW w:w="99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F-19</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LOANS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 of the Company consist of the following:</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8"/>
              <w:spacing w:after="0"/>
              <w:rPr>
                <w:sz w:val="20"/>
                <w:szCs w:val="20"/>
                <w:color w:val="auto"/>
              </w:rPr>
            </w:pPr>
            <w:r>
              <w:rPr>
                <w:rFonts w:ascii="Times New Roman" w:cs="Times New Roman" w:eastAsia="Times New Roman" w:hAnsi="Times New Roman"/>
                <w:sz w:val="18"/>
                <w:szCs w:val="18"/>
                <w:color w:val="auto"/>
                <w:w w:val="98"/>
              </w:rPr>
              <w:t>(Unaudited)</w:t>
            </w:r>
          </w:p>
        </w:tc>
        <w:tc>
          <w:tcPr>
            <w:tcW w:w="2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60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Contract term</w:t>
            </w: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Bank of Communications</w:t>
            </w:r>
            <w:r>
              <w:rPr>
                <w:rFonts w:ascii="Times New Roman" w:cs="Times New Roman" w:eastAsia="Times New Roman" w:hAnsi="Times New Roman"/>
                <w:sz w:val="28"/>
                <w:szCs w:val="28"/>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426,815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CEEFF"/>
          </w:tcPr>
          <w:p>
            <w:pPr>
              <w:spacing w:after="0"/>
              <w:rPr>
                <w:sz w:val="21"/>
                <w:szCs w:val="21"/>
                <w:color w:val="auto"/>
              </w:rPr>
            </w:pPr>
          </w:p>
        </w:tc>
        <w:tc>
          <w:tcPr>
            <w:tcW w:w="20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09/24/2025 - 09/24/2026</w:t>
            </w: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Bank of China</w:t>
            </w:r>
            <w:r>
              <w:rPr>
                <w:rFonts w:ascii="Times New Roman" w:cs="Times New Roman" w:eastAsia="Times New Roman" w:hAnsi="Times New Roman"/>
                <w:sz w:val="23"/>
                <w:szCs w:val="23"/>
                <w:color w:val="auto"/>
                <w:vertAlign w:val="superscript"/>
              </w:rPr>
              <w:t>(3)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853,631</w:t>
            </w:r>
          </w:p>
        </w:tc>
        <w:tc>
          <w:tcPr>
            <w:tcW w:w="138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rPr>
              <w:t>06/30/2025 - 06/30/2026</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380" w:type="dxa"/>
            <w:vAlign w:val="bottom"/>
            <w:gridSpan w:val="2"/>
          </w:tcPr>
          <w:p>
            <w:pPr>
              <w:jc w:val="right"/>
              <w:ind w:right="280"/>
              <w:spacing w:after="0" w:line="68" w:lineRule="exact"/>
              <w:rPr>
                <w:sz w:val="20"/>
                <w:szCs w:val="20"/>
                <w:color w:val="auto"/>
              </w:rPr>
            </w:pPr>
            <w:r>
              <w:rPr>
                <w:rFonts w:ascii="Times New Roman" w:cs="Times New Roman" w:eastAsia="Times New Roman" w:hAnsi="Times New Roman"/>
                <w:sz w:val="7"/>
                <w:szCs w:val="7"/>
                <w:color w:val="auto"/>
              </w:rPr>
              <w:t>2.15</w:t>
            </w:r>
          </w:p>
        </w:tc>
        <w:tc>
          <w:tcPr>
            <w:tcW w:w="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6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1,280,446</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240"/>
          </w:cols>
          <w:pgMar w:left="320" w:top="873" w:right="339"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Construction Bank</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8"/>
          <w:szCs w:val="18"/>
          <w:color w:val="auto"/>
        </w:rPr>
        <w:t>China Construction Bank</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5" w:lineRule="auto"/>
        <w:rPr>
          <w:sz w:val="20"/>
          <w:szCs w:val="20"/>
          <w:color w:val="auto"/>
        </w:rPr>
      </w:pPr>
      <w:r>
        <w:rPr>
          <w:rFonts w:ascii="Times New Roman" w:cs="Times New Roman" w:eastAsia="Times New Roman" w:hAnsi="Times New Roman"/>
          <w:sz w:val="18"/>
          <w:szCs w:val="18"/>
          <w:color w:val="auto"/>
        </w:rPr>
        <w:t>China Construction Bank</w:t>
      </w:r>
      <w:r>
        <w:rPr>
          <w:rFonts w:ascii="Times New Roman" w:cs="Times New Roman" w:eastAsia="Times New Roman" w:hAnsi="Times New Roman"/>
          <w:sz w:val="29"/>
          <w:szCs w:val="29"/>
          <w:color w:val="auto"/>
          <w:vertAlign w:val="superscript"/>
        </w:rPr>
        <w:t>(1)</w:t>
      </w:r>
    </w:p>
    <w:p>
      <w:pPr>
        <w:spacing w:after="0" w:line="204" w:lineRule="auto"/>
        <w:rPr>
          <w:sz w:val="20"/>
          <w:szCs w:val="20"/>
          <w:color w:val="auto"/>
        </w:rPr>
      </w:pPr>
      <w:r>
        <w:rPr>
          <w:rFonts w:ascii="Times New Roman" w:cs="Times New Roman" w:eastAsia="Times New Roman" w:hAnsi="Times New Roman"/>
          <w:sz w:val="18"/>
          <w:szCs w:val="18"/>
          <w:color w:val="auto"/>
        </w:rPr>
        <w:t>Bank of China</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loans of the Company as of December 31, 2025 consists of the following: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30-Jun-25</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201"/>
        </w:trPr>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2240" w:type="dxa"/>
            <w:vAlign w:val="bottom"/>
            <w:tcBorders>
              <w:top w:val="single" w:sz="8" w:color="auto"/>
            </w:tcBorders>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40" w:type="dxa"/>
            <w:vAlign w:val="bottom"/>
          </w:tcPr>
          <w:p>
            <w:pPr>
              <w:spacing w:after="0"/>
              <w:rPr>
                <w:sz w:val="18"/>
                <w:szCs w:val="18"/>
                <w:color w:val="auto"/>
              </w:rPr>
            </w:pPr>
          </w:p>
        </w:tc>
      </w:tr>
      <w:tr>
        <w:trPr>
          <w:trHeight w:val="245"/>
        </w:trPr>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gridSpan w:val="2"/>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Loan term</w:t>
            </w:r>
          </w:p>
        </w:tc>
      </w:tr>
      <w:tr>
        <w:trPr>
          <w:trHeight w:val="243"/>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78,227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11/13/2024 - 11/13/2025</w:t>
            </w:r>
          </w:p>
        </w:tc>
      </w:tr>
      <w:tr>
        <w:trPr>
          <w:trHeight w:val="257"/>
        </w:trPr>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120,834</w:t>
            </w:r>
          </w:p>
        </w:tc>
        <w:tc>
          <w:tcPr>
            <w:tcW w:w="20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11/13/2024 - 11/13/2025</w:t>
            </w:r>
          </w:p>
        </w:tc>
      </w:tr>
      <w:tr>
        <w:trPr>
          <w:trHeight w:val="257"/>
        </w:trPr>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270,723</w:t>
            </w:r>
          </w:p>
        </w:tc>
        <w:tc>
          <w:tcPr>
            <w:tcW w:w="20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11/13/2024 - 11/13/2025</w:t>
            </w:r>
          </w:p>
        </w:tc>
      </w:tr>
      <w:tr>
        <w:trPr>
          <w:trHeight w:val="277"/>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838,153</w:t>
            </w:r>
          </w:p>
        </w:tc>
        <w:tc>
          <w:tcPr>
            <w:tcW w:w="20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06/30/2025 - 06/30/2026</w:t>
            </w:r>
          </w:p>
        </w:tc>
      </w:tr>
    </w:tbl>
    <w:p>
      <w:pPr>
        <w:spacing w:after="0" w:line="5" w:lineRule="exact"/>
        <w:rPr>
          <w:sz w:val="20"/>
          <w:szCs w:val="20"/>
          <w:color w:val="auto"/>
        </w:rPr>
      </w:pPr>
    </w:p>
    <w:p>
      <w:pPr>
        <w:ind w:left="381" w:hanging="381"/>
        <w:spacing w:after="0"/>
        <w:tabs>
          <w:tab w:leader="none" w:pos="381" w:val="left"/>
        </w:tabs>
        <w:numPr>
          <w:ilvl w:val="0"/>
          <w:numId w:val="1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1,307,937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6120" w:space="179"/>
            <w:col w:w="4941"/>
          </w:cols>
          <w:pgMar w:left="320" w:top="873" w:right="339" w:bottom="96"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6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gridSpan w:val="5"/>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560" w:type="dxa"/>
            <w:vAlign w:val="bottom"/>
            <w:tcBorders>
              <w:top w:val="single" w:sz="8" w:color="auto"/>
            </w:tcBorders>
            <w:gridSpan w:val="3"/>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2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Contract term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Bank of China</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2"/>
                <w:szCs w:val="22"/>
                <w:color w:val="auto"/>
              </w:rPr>
            </w:pPr>
          </w:p>
        </w:tc>
        <w:tc>
          <w:tcPr>
            <w:tcW w:w="20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06/30/2025 - 06/30/2027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loans current total</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31,300</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gridSpan w:val="5"/>
            <w:vMerge w:val="restart"/>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560" w:type="dxa"/>
            <w:vAlign w:val="bottom"/>
            <w:tcBorders>
              <w:top w:val="single" w:sz="8" w:color="auto"/>
            </w:tcBorders>
            <w:gridSpan w:val="3"/>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2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Contract term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00" w:type="dxa"/>
            <w:vAlign w:val="bottom"/>
            <w:tcBorders>
              <w:bottom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Bank of China</w:t>
            </w:r>
            <w:r>
              <w:rPr>
                <w:rFonts w:ascii="Times New Roman" w:cs="Times New Roman" w:eastAsia="Times New Roman" w:hAnsi="Times New Roman"/>
                <w:sz w:val="29"/>
                <w:szCs w:val="29"/>
                <w:color w:val="auto"/>
                <w:vertAlign w:val="superscript"/>
              </w:rPr>
              <w:t>(4)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266,048</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06/30/2025 - 06/30/2027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loans non-current 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266,048</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30-Jun-25</w:t>
            </w: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vMerge w:val="continue"/>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560" w:type="dxa"/>
            <w:vAlign w:val="bottom"/>
            <w:gridSpan w:val="3"/>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Contract term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00" w:type="dxa"/>
            <w:vAlign w:val="bottom"/>
            <w:tcBorders>
              <w:bottom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Bank of Communications</w:t>
            </w:r>
            <w:r>
              <w:rPr>
                <w:rFonts w:ascii="Times New Roman" w:cs="Times New Roman" w:eastAsia="Times New Roman" w:hAnsi="Times New Roman"/>
                <w:sz w:val="29"/>
                <w:szCs w:val="29"/>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300,338</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11/27/2023 – 11/27/2025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loans current 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300,338</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vMerge w:val="restart"/>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30-Jun-25</w:t>
            </w: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vMerge w:val="continue"/>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560" w:type="dxa"/>
            <w:vAlign w:val="bottom"/>
            <w:gridSpan w:val="3"/>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206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00" w:type="dxa"/>
            <w:vAlign w:val="bottom"/>
            <w:tcBorders>
              <w:bottom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Bank of China</w:t>
            </w:r>
            <w:r>
              <w:rPr>
                <w:rFonts w:ascii="Times New Roman" w:cs="Times New Roman" w:eastAsia="Times New Roman" w:hAnsi="Times New Roman"/>
                <w:sz w:val="29"/>
                <w:szCs w:val="29"/>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307,323</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06/30/2025 - 06/30/2027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loans non-current 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307,323</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with China Construction Bank carry the fixed interest rate and are unsecured.</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from Bank of Communications are unsecured and carry floating interest rates. The interest rate of each loan is based on the one year Chinese Loan Prime Rate, or LPR, to the agreed “Pricing Benchmark date,” according to the value of addition (subtraction) points agreed upon in the Application for the Use of Loan on the draw date. The applicable date of the Pricing base shall be the draw date, and the applicable LPR value shall be the last published LPR value before the draw date. In connection with the loan with the Bank of Communications, Mr. Lei Xu provided a guarantee for the repayment of the loan.</w:t>
      </w:r>
    </w:p>
    <w:p>
      <w:pPr>
        <w:spacing w:after="0" w:line="1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loan with the Bank of China, Mr. Lei Xu provided a guarantee for the repayment of the loan.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2025, the Company signed a loan agreement with the Bank of China and obtained a loan of $312,998, with a loan term from June 30, 2025 to June 30, 2027 and a fixed annual interest rate of 3%. In accordance with the repayment plan under the loan agreement, the Company had repaid $15,650 of the loan on December 30, 2025, and shall repay $15,650 respectively on June 30, 2025 and December 30, 2026, with the remaining balance to be repaid on June 30, 2027. In connection with the loan with the Bank of China, Beijing Capital Financing Guarantee Co., Ltd. provided a joint guarantee.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for the six months ended December 31, 2025 and 2024 was 25,580 and $23,090 respectively.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6"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 AND BALANCES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Company as of December 31, 2025, and June 30, 2025:</w:t>
      </w:r>
    </w:p>
    <w:p>
      <w:pPr>
        <w:sectPr>
          <w:pgSz w:w="11900" w:h="16838" w:orient="portrait"/>
          <w:cols w:equalWidth="0" w:num="1">
            <w:col w:w="11240"/>
          </w:cols>
          <w:pgMar w:left="320" w:top="873"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related parties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 Fan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Xu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 Fan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Xu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19685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of the Company</w:t>
      </w:r>
    </w:p>
    <w:p>
      <w:pPr>
        <w:spacing w:after="0" w:line="27"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7"/>
          <w:szCs w:val="17"/>
          <w:color w:val="auto"/>
        </w:rPr>
        <w:t>A shareholder of the Company</w:t>
      </w:r>
    </w:p>
    <w:p>
      <w:pPr>
        <w:spacing w:after="0" w:line="214" w:lineRule="exact"/>
        <w:rPr>
          <w:sz w:val="20"/>
          <w:szCs w:val="20"/>
          <w:color w:val="auto"/>
        </w:rPr>
      </w:pPr>
    </w:p>
    <w:tbl>
      <w:tblPr>
        <w:tblLayout w:type="fixed"/>
        <w:tblInd w:w="294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4"/>
        </w:trPr>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9"/>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34"/>
        </w:trPr>
        <w:tc>
          <w:tcPr>
            <w:tcW w:w="100" w:type="dxa"/>
            <w:vAlign w:val="bottom"/>
          </w:tcPr>
          <w:p>
            <w:pPr>
              <w:spacing w:after="0"/>
              <w:rPr>
                <w:sz w:val="20"/>
                <w:szCs w:val="20"/>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55,933</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62,120</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-496570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-205105</wp:posOffset>
            </wp:positionV>
            <wp:extent cx="713232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4" w:lineRule="exact"/>
        <w:rPr>
          <w:sz w:val="20"/>
          <w:szCs w:val="20"/>
          <w:color w:val="auto"/>
        </w:rPr>
      </w:pPr>
    </w:p>
    <w:tbl>
      <w:tblPr>
        <w:tblLayout w:type="fixed"/>
        <w:tblInd w:w="2940"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15" w:lineRule="exact"/>
        <w:rPr>
          <w:sz w:val="20"/>
          <w:szCs w:val="20"/>
          <w:color w:val="auto"/>
        </w:rPr>
      </w:pPr>
    </w:p>
    <w:p>
      <w:pPr>
        <w:sectPr>
          <w:pgSz w:w="11900" w:h="16838" w:orient="portrait"/>
          <w:cols w:equalWidth="0" w:num="2">
            <w:col w:w="5020" w:space="720"/>
            <w:col w:w="550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 Fan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992,907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 net</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992,907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Zhen Fan’s account balances primarily include a fund transfers $1,000,000 and accounts payable for reimbursements of $7,093.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5, 2022, Haoxi’s shareholders approved a Memorandum and Articles of Association, pursuant to which 6,000,000(Pre-consolidation 150,000,000) shares were authorized as Class A ordinary shares and 2,000,000(Pre-consolidation 50,000,000) shares were authorized as Class B ordinary shares with a par value of $0.0025(Pre-consolidation $0.0001) per share (each are hereinafter referred to as “Class A Ordinary Shares” and “Class B Ordinary Shares”, respectively). Holders of Class A Ordinary Shares are entitled to one vote per share and holders of Class B Ordinary Shares are entitled to 10 votes per share. Haoxi issued 690,800(Pre-consolidation 17,270,000) Class B Ordinary Shares to Mr. Fan Zhen and 309,200(Pre-consolidation 7,730,000) Class A Ordinary Shares to Mr. Lei Xu and four other shareholders on August 5, 2022. On November 28, 2022, the Company issued 179,200 (Pre-consolidation 4,480,000) Class A Ordinary Shares to an investor.</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completed an IPO on NASDAQ on January 26, 2024, offering 96,000(Pre-consolidation 2,400,000) Class A Ordinary Shares. On March 8, 2024, EF Hutton LLC, the lead underwriter of the IPO, exercised its overallotment option to purchase an additional 14,400(Pre-consolidation 360,000) shares of the Company’s Class A Ordinary Shares at $4.00 per share. The closing date for the sale of the overallotment shares was March 8, 2024.</w:t>
      </w: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20, 2024, the Company issued 4,000,000 units to the public at a price of $3.00 per unit. The gross proceeds of the offering, before deducting underwriting fees and other related expenses, was $12,000,000.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unit in such offering included: (1) one Class A Ordinary Share (or one pre-funded warrant to purchase one Class A Ordinary Share), (2) one Series A warrant, and (3) one Series B warrant. The pre-funded warrants may be exercised into Class A Ordinary Shares at the price of $0.0001 per share. For the Series A warrants, after issuance, one warrant can be exercised at $3.00 per Class A Ordinary Share initially, and, on the 16th calendar day after the closing date, each Series A warrant has the option of five Class A Ordinary shares, and the exercise price is adjusted to $0.60. For Series B warrant, the option is four Class A Ordinary shares with an exercise price of $0.0001. The number of issuable shares for Series B warrants depends on the exercise status of pre-funded warrants, and the maximum number of issuable shares is determined by a calculation formula. The validity period of the warrant is 5 years.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impact of the stock reverse split on January 14, 2025, the number of shares to be exchanged in the company’s above-mentioned issued portfolio needs to be reduced at a ratio of 25 to 1. That is, the number of shares issued is 160,000(Pre-consolidation 4,000,000), and the specific number of shares for the warrant exercise is detailed in the following instructions.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27, 2024, the Holders exchanged a total of 159,920 Series A warrants (3,998,000 before the split) by signing a stock exchange agreement., and the Company issued 799,600(Pre-consolidation 19,990,000) Class A ordinary shares on the same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October, 2024, the Holders exercised an aggregate of 139,890(Pre-consolidation 3,497,241 ) Series B warrants through an alternative cashless exercise option, and the Company issued 559,559(Pre-consolidation 13,988,964) Class A ordinary shares in October,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30, 2024, the Company issued 13,636(Pre-consolidation 340,910) restricted shares to the IR institution Outside the Box Capital Inc. as compensation.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14, 2025, the Company effected a reverse stock split at a ratio of 25-to-1. All the shares and share price in the accompanying consolidated financial statements and notes have been retrospectively adjusted to reflect the effect of the reverse stock split.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16, 2025, the holders exercised a total of 20,000 Series B warrants through alternative cashless exercise, and the company issued 79,842 Class A common shares in September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13, 2025, the Company entered into a purchase agreement with investors, agreeing to sell a total of 5,217,391 shares of the Company’s Class A common stock, with a par value of $0.0025 per share, and the total purchase price is approximately $1.2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6.25 million shares of Class A common stock with a par value of US$0.0025 per share. The total gross proceeds from this issuance amounted to $5.0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26, 2025, the holder exchanged a total of 45,000,000 Class A shares by executing a share exchange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(“The 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at initial recognition, the Company classifies such warrants as liabilities at their fair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movement of warrants is as follows: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56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Valuation</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Issuance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Exercise</w:t>
            </w:r>
            <w:r>
              <w:rPr>
                <w:rFonts w:ascii="Times New Roman" w:cs="Times New Roman" w:eastAsia="Times New Roman" w:hAnsi="Times New Roman"/>
                <w:sz w:val="29"/>
                <w:szCs w:val="29"/>
                <w:color w:val="auto"/>
                <w:vertAlign w:val="superscript"/>
              </w:rPr>
              <w:t>(b)</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103,828</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103,019</w:t>
            </w:r>
          </w:p>
        </w:tc>
        <w:tc>
          <w:tcPr>
            <w:tcW w:w="0" w:type="dxa"/>
            <w:vAlign w:val="bottom"/>
          </w:tcPr>
          <w:p>
            <w:pPr>
              <w:spacing w:after="0"/>
              <w:rPr>
                <w:sz w:val="1"/>
                <w:szCs w:val="1"/>
                <w:color w:val="auto"/>
              </w:rPr>
            </w:pPr>
          </w:p>
        </w:tc>
      </w:tr>
      <w:tr>
        <w:trPr>
          <w:trHeight w:val="270"/>
        </w:trPr>
        <w:tc>
          <w:tcPr>
            <w:tcW w:w="46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9"/>
                <w:szCs w:val="29"/>
                <w:color w:val="auto"/>
                <w:vertAlign w:val="superscript"/>
              </w:rPr>
              <w:t>(c)</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20"/>
                <w:szCs w:val="20"/>
                <w:color w:val="auto"/>
              </w:rPr>
            </w:pPr>
          </w:p>
        </w:tc>
        <w:tc>
          <w:tcPr>
            <w:tcW w:w="156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Valuation</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Issuance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10,559,739</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160,000</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4,122,940</w:t>
            </w: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6,436,799</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Exercise</w:t>
            </w:r>
            <w:r>
              <w:rPr>
                <w:rFonts w:ascii="Times New Roman" w:cs="Times New Roman" w:eastAsia="Times New Roman" w:hAnsi="Times New Roman"/>
                <w:sz w:val="29"/>
                <w:szCs w:val="29"/>
                <w:color w:val="auto"/>
                <w:vertAlign w:val="superscript"/>
              </w:rPr>
              <w:t>(b)</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3,693,843</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159,920</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918,183</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3,693,843</w:t>
            </w:r>
          </w:p>
        </w:tc>
        <w:tc>
          <w:tcPr>
            <w:tcW w:w="0" w:type="dxa"/>
            <w:vAlign w:val="bottom"/>
          </w:tcPr>
          <w:p>
            <w:pPr>
              <w:spacing w:after="0"/>
              <w:rPr>
                <w:sz w:val="1"/>
                <w:szCs w:val="1"/>
                <w:color w:val="auto"/>
              </w:rPr>
            </w:pPr>
          </w:p>
        </w:tc>
      </w:tr>
      <w:tr>
        <w:trPr>
          <w:trHeight w:val="270"/>
        </w:trPr>
        <w:tc>
          <w:tcPr>
            <w:tcW w:w="46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9"/>
                <w:szCs w:val="29"/>
                <w:color w:val="auto"/>
                <w:vertAlign w:val="superscript"/>
              </w:rPr>
              <w:t>(c)</w:t>
            </w:r>
          </w:p>
        </w:tc>
        <w:tc>
          <w:tcPr>
            <w:tcW w:w="14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(6,761,463)</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(3,204,725)</w:t>
            </w:r>
          </w:p>
        </w:tc>
        <w:tc>
          <w:tcPr>
            <w:tcW w:w="2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(3,556,738)</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104,433</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104,401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20, 2024, the Company issued 160,000 (Pre-consolidation 4,000,000) units to public, and each unit in such offering included one Class A Ordinary Share, one Series A warrant and one Series B warrant. The Company uses the Binominal Tree pricing model to value the warrants, and the fair value allocated to the warrants at the date of issuance was $10,559,739.</w:t>
      </w:r>
    </w:p>
    <w:p>
      <w:pPr>
        <w:spacing w:after="0" w:line="202" w:lineRule="exact"/>
        <w:rPr>
          <w:rFonts w:ascii="Times New Roman" w:cs="Times New Roman" w:eastAsia="Times New Roman" w:hAnsi="Times New Roman"/>
          <w:sz w:val="18"/>
          <w:szCs w:val="18"/>
          <w:color w:val="auto"/>
        </w:rPr>
      </w:pPr>
    </w:p>
    <w:p>
      <w:pPr>
        <w:jc w:val="both"/>
        <w:ind w:left="380" w:right="40" w:hanging="345"/>
        <w:spacing w:after="0" w:line="266" w:lineRule="auto"/>
        <w:tabs>
          <w:tab w:leader="none" w:pos="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2024, the holder exchanged a total of 159,920 Series A warrants (3,998,000 before the split) by signing a stock exchange agreement. The Company uses the Binominal Tree pricing model to value the warrants, and the fair value allocated to the Series A warrants at the date of exchange was $918,183.</w:t>
      </w:r>
    </w:p>
    <w:p>
      <w:pPr>
        <w:spacing w:after="0" w:line="175" w:lineRule="exact"/>
        <w:rPr>
          <w:rFonts w:ascii="Times New Roman" w:cs="Times New Roman" w:eastAsia="Times New Roman" w:hAnsi="Times New Roman"/>
          <w:sz w:val="18"/>
          <w:szCs w:val="18"/>
          <w:color w:val="auto"/>
        </w:rPr>
      </w:pPr>
    </w:p>
    <w:p>
      <w:pPr>
        <w:jc w:val="both"/>
        <w:ind w:left="38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Holders exercised an aggregate of 139,890 (Pre-consolidation 3,497,241 ) Series B warrants through an alternative cashless exercise option. The Company uses the Binominal Tree pricing model to value the warrants, and the fair value allocated to the Series B warrants at the date of exercise was $3,693,843.</w:t>
      </w:r>
    </w:p>
    <w:p>
      <w:pPr>
        <w:spacing w:after="0" w:line="175" w:lineRule="exact"/>
        <w:rPr>
          <w:rFonts w:ascii="Times New Roman" w:cs="Times New Roman" w:eastAsia="Times New Roman" w:hAnsi="Times New Roman"/>
          <w:sz w:val="18"/>
          <w:szCs w:val="18"/>
          <w:color w:val="auto"/>
        </w:rPr>
      </w:pPr>
    </w:p>
    <w:p>
      <w:pPr>
        <w:ind w:left="38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2025, the holders exercised a total of 20,000 Series B warrants through alternative cashless exercise, and the company issued 79,842 Class A common shares in September 2025.</w:t>
      </w:r>
    </w:p>
    <w:p>
      <w:pPr>
        <w:spacing w:after="0" w:line="189"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remaining unexercised Series A warrants and Series B warrants is 80 and 109 respectively. The fair value of these warrants as of December 31, 2025 is $1,414. The total gain from changes in the fair value of warrants for the six months ended December 31, 2025 is $nil.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339"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12 – SHAREHOLDERS’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warrant liabilities was estimated using Binomial Tree Model. Inherent in these valuations are assumptions related to expected stock-price volatility, expected life, risk-free interest rate and dividend yield. The Company estimates the volatility of its common stock based on historical and implied volatilities of selected peer companies as well as its own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for the Company’s warrants at their measurement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0"/>
        </w:trPr>
        <w:tc>
          <w:tcPr>
            <w:tcW w:w="44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November 27,</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October 7,</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20,</w:t>
            </w:r>
          </w:p>
        </w:tc>
      </w:tr>
      <w:tr>
        <w:trPr>
          <w:trHeight w:val="245"/>
        </w:trPr>
        <w:tc>
          <w:tcPr>
            <w:tcW w:w="44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warrants to convert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Statuary Reserve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Regulations on Enterprises of PRC, WFOE and Haoxi BJ in the PRC are required to provide statutory reserves, appropriated from net profit as reported in the Company’s PRC statutory accounts. They are required to allocate 10% of their after-tax profits to fund statutory reserves until such reserves reach 50% of their respective registered capital. These reserve funds, however, may not be distributed as cash dividends. As of December 31, 2025 and June 30, 2025, the statutory reserves of WFOE and Haoxi BJ have no retained earnings and, thus, are not required to appropriate statutory reserves. As of December 31, 2025 and June 30, 2025, the balances of the statutory reserves were $nil and nil,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net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Relevant PRC statutory laws and regulations permit payments of dividends by Haoxi BJ, if any, as determined in accordance with PRC accounting standards and regulations. The results of operations reflected in the CFS prepared in accordance with U.S. GAAP differ from those reflected in the statutory financial statements of the Company’s subsidiaries.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exchange and other regulations in the PRC may further restrict the Company’s subsidiaries from transferring funds to the Company in the form of dividends, loans and advances. Amounts restricted include paid-in capital and statutory reserves of the Company’s PRC subsidiaries as determined pursuant to PRC generally accepted accounting principles. As of December 31, 2025 and June 30, 2025, restricted net assets of the Company’s PRC subsidiaries were $955,366 and $755,505,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our unaudited consolidated financial statements and related notes that appear in this report. In addition to historical consolidated financial information, the following discussion contains forward-looking statements that reflect our plans, estimates, and beliefs. These forward-looking statements can be identified by the use of words such as “believes,” “estimates,” “could,” “possibly,” “probably,” anticipates,” “projects,” “expects,” “may,” “will,” or “should” or other variations or similar words. No assurances can be given that the future results anticipated by the forward-looking statements will be achieved. Forward-looking statements reflect management’s current expectations and are inherently uncertain. Our actual results could differ materially from those discussed in the forward-looking statements. Factors that could cause or contribute to these differences include those discussed below and elsewhere in this report. All amounts included herein with respect to the six months ended December 31, 2025 and 2024 are derived from our unaudited consolidated financial statements included elsewhere in this report. The unaudited consolidated financial statements for the six months ended December 31, 2025 and 2024 have been prepared in accordance with U.S. Generally Accepted Accounting Principles, or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As a holding company with no substantive operations, we conduct our operations primarily through the operating entity, Beijing Haoxi Digital Technology Co., Ltd. (“Haoxi Beijing”), which is an online marketing solution provider based in China. The operating entity is dedicated to helping its advertiser customers manage their online marketing activities to achieve their business goals. The operating entity advises advertisers on online marketing strategies, offers value-added advertising optimization services and facilitates the deployment of online ads through the form of short video ads.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revenue was $33.83 million and $23.95 million for six months ended December 31, 2025 and 2024, respectively. Our net loss was $6.88 million for six months ended December 31, 2025, while the net loss was $0.23 million for six months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dynamics of user traffic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entity relies on media platforms of a third party, ByteDance, to acquire user traffic for its advertiser customers during the historical reporting periods. If it fails to maintain its business relationship with ByteDance its popularity, business, financial condition, and results of operations could be materially and adversely affected, especially if it could not be able to obtain sufficient user traffic from any alternative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Retention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entity’s customers are primarily in the healthcare industry. The operating entity’s ability to increase the number of healthcare industry advertisers largely depends on its ability to provide one-stop comprehensive online marketing services to improve the customers’ return on investment (“ROI”) in online advertisements. The operating entity had 307 and 389 advertisers customers for the six months ended December 31, 2025 and 2024,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entity’s future sales and marketing efforts will relate to customer acquisition and retention, and general marketing. It intends to keep allocating significant resources to increase the advertisers’ return on ad expenditure.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entity’s business is subject to complex and evolving laws and regulations in China. Many of these laws and regulations are relatively new and subject to changes and uncertain interpretation, and could result in claims, changes to its business practices, monetary penalties, increased cost of operations, declines in user growth or engagement, or other harm to its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six months ended December 31, 2025 and 2024</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key components of our results of operations for six months ended December 31, 2025 and 2024, in U.S. dollars and as a percentage of fluctuations.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60" w:type="dxa"/>
            <w:vAlign w:val="bottom"/>
            <w:gridSpan w:val="4"/>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For six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4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60" w:type="dxa"/>
            <w:vAlign w:val="bottom"/>
            <w:gridSpan w:val="4"/>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4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33,828,346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23,954,998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9,873,348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32,231,880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23,474,605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8,757,275</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1,596,466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480,393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34,307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30,273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4,034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7,180,085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509,915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6,670,170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61,170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67,556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(6,386)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non-current assets</w:t>
            </w:r>
          </w:p>
        </w:tc>
        <w:tc>
          <w:tcPr>
            <w:tcW w:w="3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900,000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7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8,175,562</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607,744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7,567,818</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1245</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1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(6,579,096)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(127,351)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(6,451,745)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5066%</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64,222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156,742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(92,520)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31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(25,580)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(23,090)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(2,490)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(4,224)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4,224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1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(6,540,454)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(6,542,531)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(314999)%</w:t>
            </w: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3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340,705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234,610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106,095</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(6,881,159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(6,648,626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113,497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(46,620)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160,117</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0"/>
        </w:trPr>
        <w:tc>
          <w:tcPr>
            <w:tcW w:w="4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7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(6,767,662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(279,153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(6,488,509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2324</w:t>
            </w:r>
          </w:p>
        </w:tc>
        <w:tc>
          <w:tcPr>
            <w:tcW w:w="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655"/>
        </w:trPr>
        <w:tc>
          <w:tcPr>
            <w:tcW w:w="4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from providing one-stop online marketing solutions, including traffic acquisition from mainstream online media platforms, content production, data analysis and advertising campaign optimization, to advertisers through the operating entity. Net revenue was $33.83 million and $23.95 million for six months ended December 31, 2025 and 2024, respectively. The increase in revenue was primarily driven by higher demand from existing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consists primarily of the purchase of online traffic from third-party media platforms after deducting rebates, and salaries and benefits for business operation staff. The cost of revenue increased by $8.76 million or 37%, from $23.47 million for six months ended December 31, 2024 to $32.23 million for six months ended December 31, 2025. The increase in the costs is largely consistent with the revenue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profit increased by $1.12 million, from $0.48 million for six months ended December 31, 2024, to $1.60 million for six months ended December 31, 2025. Gross profit as a percentage of revenue (“gross margin”) was 4.72% for six months ended December 31, 2025, higher than 2.01% for six months ended December 31, 2024. This increase both in gross profit and gross margin mainly resulted from the closure of the loss-making overseas business and the Company’s strategic focus on domestic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primarily consist of payroll costs and office related expenses. Selling and marketing expenses increased by 13% from $30,273 for six months ended December 31, 2024 to $34,307 for six months ended December 31, 2025. It was mainly due to an increase in sales staff’s performance-based bonus.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mainly consist of salaries and bonus, office related expenses and provision for doubtful accounts. General and administrative expenses increased by $6.67 million or 1308%, from $0.51 million for six months ended December 31, 2024 to $7.2 million for six months ended December 31, 2025. The increase was mainly attributable to the recognition of an allowance for credit losses of $6.02 million against prepaid online advertising expenses for overseas marketing and amounts due from third-party loans, as well as the recognition of $0.36 million in bonus expenses for senior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mainly consist of salaries and benefits of our research and development staff for the development of Bidding Compass, our online ads bidding analysis software. Research and development expenses decreased by $6,386 or 9%, from $67,556 for six months ended December 31, 2024 to $61,170 for six months ended December 31, 2025. It was mainly attributable to the decrease in salaries of research and development staff.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on non-current assets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losses on non-current assets mainly consist of impairment recognized on intangible assets. The increase in such impairment was primarily due to the impact of fluctuations in the external environment and changes in internal operations, which led the Company to recognize an impairment loss of $0.90 million on its intangible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income tax of $340,705 and $234,610 for six months ended December 31, 2025 and 2024,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net loss of $6.88 million and net loss of $0.23 million for six months ended December 31,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$6.80 million in cash and cash equivalents which decreased by $1.82 million from $8.62 million as of June 30, 2025. Our principal sources of liquidity have been proceeds from operations. As reflected in the unaudited condensed consolidated financial statements (the “CFS”), we had a net shareholders’ equity of $15.96 million as of December 31, 2025, and $4.93 million of cash provided by financing activities for six months ended December 31, 2025. Our working capital amounted to $10.62 million. We completed a follow-on offering of our securities on September 20, 2024 and raised $7.75 million in net proceeds. On October 13, 2025, the Company sell a total of 5,217,391 Class A ordinary shares of the Company for a total purchase price of approximately $1.2 million. On November 26, 2025, the Company sold 6.25 million Class A ordinary shares and 12.5 million warrants to purchase Class A ordinary shares at an initial exercise price of $0.8 per share in a transaction exempt from the registration requirement in reliance on Regulation S promulgated under the Securities Act of 1933, as amended. The total gross proceeds were $5.0 million. We believe the current cash and cash equivalents will be sufficient to meet the anticipated working capital requirements and expenditures for the next 12 months.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explore opportunities to grow our business. However, we are growing our business scale on a fast track that necessitates additional working capital to finance our growth, so we expect that negative cashflows from operations will occur for the foreseeable future. While we have sufficient cash for the next 12 months from the date these financial statements are issued, if we are unable to grow the business to achieve economies of scale in the future, it will become even more difficult for us to sustain a sufficient source of cash to cover our operating costs. We plan to raise additional capital, including among others, obtaining debt financing, to support our future operation. There can be no assurance, however, that we will be able to obtain additional financing on terms acceptable to us, in a timely manner, or at all.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Cayman Islands exempted and offshore holding company, we are permitted under PRC laws and regulations to provide funding to our wholly foreign-owned subsidiary in China only through loans or capital contributions, subject to the approval of government authorities and limits on the amount of capital contributions and loans. In addition, Beijing Haoxi Health Technology Co., Limited (“WFOE”) may provide Renminbi funding to the operating entity through capital injection or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(2,266,626)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(2,250,334)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(4,500,000)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(3,074,823)</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4,926,677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7,746,143</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22,643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19,703</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(1,817,306)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2,440,690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the beginning of the period</w:t>
            </w:r>
          </w:p>
        </w:tc>
        <w:tc>
          <w:tcPr>
            <w:tcW w:w="5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8,618,461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6,655,734</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the end of the period</w:t>
            </w:r>
          </w:p>
        </w:tc>
        <w:tc>
          <w:tcPr>
            <w:tcW w:w="5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6,801,155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9,096,424</w:t>
            </w:r>
          </w:p>
        </w:tc>
      </w:tr>
      <w:tr>
        <w:trPr>
          <w:trHeight w:val="655"/>
        </w:trPr>
        <w:tc>
          <w:tcPr>
            <w:tcW w:w="50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$2.27 million for six months ended December 31, 2025, as compared to $2.25 million for six months ended December 31, 2024. Net cash used in operating activities for six months ended December 31, 2025. mainly derived from (i) a net loss of $6.88 million adjusted for non-cash depreciation and amortization of $0.26 million, provision for doubtful accounts $6.02 million and impairment of intangible assets $0.90 million, (ii) net changes in the operating assets and liabilities, primarily comprising of (a) an increase of change in tax payable of $0.35 million, (b) an increase of change in amounts due from related parties of $1.05 million; (c) an increase of change in advance to suppliers of $2.99 million, (d) an increase of change in advance from customers of $0.67 million, (e) a decrease of change in account receivable of $0.44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six months ended December 31, 2025 was $4.5 million compared to $3.07 million used in investing activities for six months ended December 31, 2024. The increase was mainly attributable to the fact that the Company only made convertible bond investments of $4.5 million, while no other investments were incurred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six months ended December 31, 2025 was $4.93 million, compared to $7.75 million provided by financing activities for six months ended December 31, 2024. The decrease was primarily attributable to a $1.55 million reduction in financing proceeds during the current period compared to the same period, as well as the incurrence of $0.91 million in issuance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capital expenditures of $nil and $5,135 for six months ended December 31, 2025 and 2024, respectively. Our capital expenditures have been used primarily to purchase fixed assets for business purposes. We estimate that our capital expenditures will increase moderately in the following two or three years to support the expected growth of our business. We anticipate funding our future capital expenditures primarily with net cash flows from operating activities and financing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its financial position, results of operations or liquidity. We are not aware of any material pending or threatened claims and litigation through and as of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 – 5 years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(in USD in thousand)</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2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1,577,794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266,048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2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19,059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vMerge w:val="continue"/>
            <w:shd w:val="clear" w:color="auto" w:fill="CCEEFF"/>
          </w:tcPr>
          <w:p>
            <w:pPr>
              <w:spacing w:after="0"/>
              <w:rPr>
                <w:sz w:val="21"/>
                <w:szCs w:val="21"/>
                <w:color w:val="auto"/>
              </w:rPr>
            </w:pPr>
          </w:p>
        </w:tc>
        <w:tc>
          <w:tcPr>
            <w:tcW w:w="2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1,596,853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1,330,805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266,048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is a holding company with no material operations of its own. As most of our operations are conducted through the operating entity, our ability to pay dividends is primarily dependent on receiving distributions of funds from our PRC subsidiaries, WFOE and Haoxi Beijing. Our WFOE is permitted to pay dividends to us only out of its retained earnings, if any, as determined in accordance with PRC accounting standards and regulations. Under PRC law, our WFOE and Haoxi Beijing are required to set aside at least 10% of its after-tax profits each year, if any, to fund certain statutory reserve funds until such reserve funds reach 50% of its registered capital. In addition, our WFOE may allocate a portion of its after-tax profits based on PRC accounting standards to enterprise expansion funds and staff bonus and welfare funds at its discretion, may allocate a portion of its after-tax profits based on PRC accounting standards to a discretionary surplus fund at its discretion. The statutory reserve funds and the discretionary funds are not distributable as cash dividends.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Company, through a restructuring which is accounted for as a reorganization of entities under common control (the “Reorganization”), became the ultimate parent entity of its subsidiary, Haoxi Beijing.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expense transactions and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Company foreign exchange regulatory bodies which require certain supporting documentation in order to affect the remittances.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bank accounts in the PRC. On May 1, 2015, China’s new Deposit Insurance Regulation came into effect, pursuant to which banking financial institutions, such as commercial banks, established in the PRC are required to purchase deposit insurance for deposits in RMB and in foreign currency placed with them. Such Deposit Insurance Regulation would not provide complete protection for the Company’s accounts, as its aggregate deposits are higher than the compensation limit, which is RMB500,000 for one bank ($71,136). However, the Company believes the risk of failure of any of these Chinese banks is remote. Bank failure is uncommon in the PRC and the Company believes those Chinese banks that hold the Company’s cash, restricted cash and short-term investments are financially sound based on publicly available information. Other than the deposit insurance mechanism in the PRC mentioned above, the Company’s bank accounts are not insured by Federal Deposit Insurance Corporation insurance or other insurance.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and credit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all of the Company’s operations are in the PRC. Accordingly, the Company’s business, financial condition and results of operations may be influenced by the political, economic and legal environment in the PRC, and by the general state of the PRC’s economy. The Company’s operations in the PRC are subject to specific considerations and significant risks not typically associated with companies in U.S. The Company’s results may be adversely affected by changes in governmental policies with respect to laws and regulations, anti-inflationary measures, currency conversion and remittances abroad, and rates and methods of taxation, among other things.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restricted cash, accounts receivable, accounts receivable – related parties, advances to suppliers and amounts due from related parties. A portion of the Company’s sales are credit sales to customers whose ability to pay is dependent upon industry economics prevailing in these areas; however, concentrations of credit risk with respect to trade accounts receivable is limited due to generally short payment terms. The Company also performs ongoing credit evaluations of its customers to help further reduce credit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the Company’s financial condition and results of operations. The Company is exposed to floating interest rate risk on cash deposits and borrowings, and the risks due to changes in interest rates is not material. The Company has not used any derivative financial instruments to manage the Company’s interest risk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and Supplier Concentration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Customer A accounted for approximately 17% of our total sales. As of December 31, 2025, account receivable balance of Customers B and C accounted for approximately 25% and 23% of the Company’s total trade receivable.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2024, none of our customers contributed over 10% revenue of the Company. As of December 31, 2024, account receivable balance of Customers P, I, S and M accounted for approximately 31%, 27%, 12% and 11% of the Company’s total trade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Supplier L accounted for approximately 99% of the total purchases. As of December 31, 2025, Suppliers A accounted for approximately 99% of the Company’s trade accounts payable.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2024, Supplier L accounted for approximately 99% of the total purchases. As of December 31, 2024, Suppliers U and V accounted for approximately 51%and 49% of the Company’s trade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that involve making assumptions about uncertain matters at the time the estimate is made. If different estimates, which could reasonably have been used, or changes in those estimates that are likely to occur from period to period, have a material impact on the presentation of our financial condition, changes in financial condition, or results of operations, they are considered critical. We determined there were no critical accounting estimates.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0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lvl w:ilvl="1">
      <w:lvlJc w:val="left"/>
      <w:lvlText w:val="(%2)"/>
      <w:numFmt w:val="lowerLetter"/>
      <w:start w:val="2"/>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2026-04-22T15:27:02Z</dcterms:created>
  <dcterms:modified xsi:type="dcterms:W3CDTF">2026-04-22T15:27:02Z</dcterms:modified>
</cp:coreProperties>
</file>