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b/>
        </w:rPr>
      </w:pPr>
      <w:bookmarkStart w:id="0" w:name="ea0297729-424b5_haoxi.htm"/>
      <w:bookmarkStart w:id="1" w:name="ksea0297729424b5_haoxi"/>
      <w:bookmarkEnd w:id="0"/>
      <w:bookmarkEnd w:id="1"/>
      <w:r>
        <w:rPr>
          <w:b/>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333-287686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June 13,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 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9,700,000 Class A Ordinary Shares Underlying the 9,700,000 Pre-Funded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Haoxi Health Technology Limited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300,000 Class A ordinary shares, par value $0.32 per share (“Class A Ordinary Shares”) at an offering price of $0.40 per share, and 9,700,000 pre-funded warrants (the “Pre-Funded Warrants”) to purchase up to 9,700,000 Class A Ordinary Shares (the “Warrant Shares”), pursuant to this prospectus supplement and the accompanying prospectus for gross proceeds of up to $4,000,000, assuming the full exercise of the Pre-Funded Warrants. The purchase price for each Pre-Funded Warrant is equal to the public offering price for the Class A Shares less the $0.33 per share exercise price of each such Pre-Funded Warrant which is $0.0.7. Each Pre-Funded Warrant will be exercisable upon issuance and will not expire prior to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Univest Securities, LLC to act as our exclusive placement agent in connection with this offering (the “placement agent”). The placement agent has agreed to use its best efforts to arrange for the sale of the securities offered by this prospectus supplement. The placement agent is not purchasing or selling any of the securities we are offering and the placement agent is not required to arrange the purchase or sale of any specific number or dollar amount of securities. We have agreed to pay to the placement agent the placement agent fees as set forth herein, which assumes that we sell all of the securities offered by this prospectus supplement. There is no arrangement for funds to be received in escrow, trust or similar arrangement. See “Plan of Distribution” on page S-15 of this prospectus supplement for more information regarding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are listed on the Nasdaq Capital Market under the symbol “HAO.” On July 10, 2026, the last reported sale price of the Class A Ordinary Shares on the Nasdaq Capital Market was $0.359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our outstanding voting and non-voting common equities held by non-affiliates was approximately $93.66 million based on 58,538,638 Class A ordinary shares held by non-affiliates and a price per share of $1.60, the closing price of our Class A Ordinary Shares on January 13, 2026. Therefore, as of the date of this prospectus supplement, we are not subject to the limitations as set forth in General Instruction I.B.5 of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Class A Ordinary Shares involves risk. See “Risk Factors” beginning on page S-7 of this prospectus supplement and in the documents incorporated by reference into this prospectus supplement and the accompanying prospectus for a discussion of information that should be considered in connection with an investment in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or other foreign securities commission has approved or disapproved of these securities or determined if this prospectus supplement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with no material operations of our own and we are not a Chinese operating company. Our operations are conducted in China through our wholly owned indirect PRC subsidiary, Beijing Haoxi Digital Technology Co., Ltd. (“</w:t>
      </w:r>
      <w:r>
        <w:rPr>
          <w:rFonts w:ascii="Times New Roman;Times;Serif" w:hAnsi="Times New Roman;Times;Serif"/>
          <w:b/>
          <w:i w:val="false"/>
          <w:caps w:val="false"/>
          <w:smallCaps w:val="false"/>
          <w:sz w:val="20"/>
        </w:rPr>
        <w:t>Haoxi Beijing</w:t>
      </w:r>
      <w:r>
        <w:rPr>
          <w:rFonts w:ascii="Times New Roman;Times;Serif" w:hAnsi="Times New Roman;Times;Serif"/>
          <w:b w:val="false"/>
          <w:i w:val="false"/>
          <w:caps w:val="false"/>
          <w:smallCaps w:val="false"/>
          <w:sz w:val="20"/>
        </w:rPr>
        <w:t>”). The securities being offered hereunder are those of the offshore holding company in the Cayman Islands, instead of securities of the operating entity in China. Therefore, you will not directly hold any equity interests in the operating entity. We are subject to certain legal and operational risks associated with business operations of Haoxi Beijing in China and the Chinese regulatory authorities could disallow our corporate structure, which could cause the value of our securities to significantly decline or become worthless. For more details, see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Risk Factors—Risks Related to Doing Business in China—Substantial uncertainties exist with respect to the interpretation and implementation of the PRC Foreign Investment Law and its Implementation Rules and how they may impact the viability of our current corporate structure, corporate governance and business operations;” “—The CSRC has promulgated Overseas Listing Trial Measures on February 17, 2023. This offering will be determined to be an indirect overseas offering and is, therefore, subject to the CSRC filing procedures, which could significantly limit or completely hinder our ability to offer or continue to offer our Class A Ordinary Shares to investors and could cause the value of our Class A Ordinary Shares to significantly decline or become worthless;” and “—Any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in our annual report on the Form 20-F for the year ended June 30, 2025 (“</w:t>
      </w:r>
      <w:r>
        <w:rPr>
          <w:rFonts w:ascii="Times New Roman;Times;Serif" w:hAnsi="Times New Roman;Times;Serif"/>
          <w:b/>
          <w:i w:val="false"/>
          <w:caps w:val="false"/>
          <w:smallCaps w:val="false"/>
          <w:sz w:val="20"/>
        </w:rPr>
        <w:t>2025 Annual Report</w:t>
      </w:r>
      <w:r>
        <w:rPr>
          <w:rFonts w:ascii="Times New Roman;Times;Serif" w:hAnsi="Times New Roman;Times;Serif"/>
          <w:b w:val="false"/>
          <w:i w:val="false"/>
          <w:caps w:val="false"/>
          <w:smallCaps w:val="false"/>
          <w:sz w:val="20"/>
        </w:rPr>
        <w:t>”),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October 20, 2025, incorporated herein by reference and “Risk Factors—The PRC government exerts substantial influence over the manner in which we conduct our business activities. The PRC government may also intervene or influence our operations and this offering at any time, which could result in a material change in our operations and our Class A Ordinary Shares could decline in value or become worthless” on page 6 of this prospectus. Applicable PRC laws and regulations governing such current business operations are sometimes vague and uncertain, and as a result, these risks may result in material changes in the operations of Haoxi Beijing, significant depreciation or a complete loss of the value of our Class A Ordinary Shares, or a complete hindrance of our ability to offer, or continue to offer, our securities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2019, the PRC National People’s Congress approved the PRC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On December 26, 2019, the PRC State Council approved the Implementation Rules of Foreign Investment Law, which came into effect on January 1, 2020. Since the PRC Foreign Investment Law is relatively new, substantial uncertainties exist with respect to its interpretation and implementation. Under the PRC Foreign Investment Law, “foreign investment” refers to the investment activities directly or indirectly conducted by foreign individuals, enterprises or other entities in China. The PRC Foreign Investment Law sets out the basic regulatory framework for foreign investments and proposes to implement a management system of pre-establishment national treatment with a “negative list” for foreign investments, pursuant to which (i) a foreign invested enterprise, or FIE, under PRC law shall not invest in any sector forbidden by the negative list for access of foreign investment, (ii) for any sector restricted by the negative list, an FIE shall conform to the investment conditions provided in the negative list, and (iii) sectors not included in the negative list shall be managed under the principle that domestic investment and foreign investment shall be treated equally. The PRC Foreign Investment Law also sets forth necessary mechanisms to facilitate, protect and manage foreign investments and proposes to establish a foreign investment information report system in which FIE shall submit the investment information to competent departments of commerce through the enterprise registration system and the enterprise credit information publicity system. Haoxi Beijing is an online marketing solution provider in China with an advertiser client base mainly in the healthcare industry, which is not a prohibited or restricted industry in the negative list that is currently effective as of the date of this prospectus supplement. It is uncertain whether the online marketing industry, in which Haoxi Beijing operates, will be subject to the foreign investment restrictions or prohibitions set forth in any “negative list” to be issued in the future. There are uncertainties as to how the PRC Foreign Investment Law would be further interpreted and implemented. We cannot assure you that the interpretation and implementation of the PRC Foreign Investment Law made by the relevant governmental authorities in the future will not materially impact our corporate governance and business operations in any aspect. See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Risk Factors—Risks Related to Doing Business in China—Substantial uncertainties exist with respect to the interpretation and implementation of the PRC Foreign Investment Law and its Implementation Rules and how they may impact the viability of our current corporate structure, corporate governance and business operations” in our 2025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On December 28, 2021, 13 governmental departments of the PRC, including the Cyberspace Administration of China (the “</w:t>
      </w:r>
      <w:r>
        <w:rPr>
          <w:rFonts w:ascii="Times New Roman;Times;Serif" w:hAnsi="Times New Roman;Times;Serif"/>
          <w:b/>
          <w:i w:val="false"/>
          <w:caps w:val="false"/>
          <w:smallCaps w:val="false"/>
          <w:sz w:val="20"/>
        </w:rPr>
        <w:t>CAC</w:t>
      </w:r>
      <w:r>
        <w:rPr>
          <w:rFonts w:ascii="Times New Roman;Times;Serif" w:hAnsi="Times New Roman;Times;Serif"/>
          <w:b w:val="false"/>
          <w:i w:val="false"/>
          <w:caps w:val="false"/>
          <w:smallCaps w:val="false"/>
          <w:sz w:val="20"/>
        </w:rPr>
        <w:t>”), issued the Cybersecurity Review Measures, which became effective on February 15, 2022. As of the date of this prospectus supplement, neither we nor our subsidiaries have been involved in any investigations on cybersecurity review initiated by any PRC regulatory authority, nor has any of them received any inquiry, notice, or sanction related to cybersecurity review under the Cybersecurity Review Measures. The CAC published the draft Regulations on the Network Data Security Administration (Draft for Comments) (the “</w:t>
      </w:r>
      <w:r>
        <w:rPr>
          <w:rFonts w:ascii="Times New Roman;Times;Serif" w:hAnsi="Times New Roman;Times;Serif"/>
          <w:b/>
          <w:i w:val="false"/>
          <w:caps w:val="false"/>
          <w:smallCaps w:val="false"/>
          <w:sz w:val="20"/>
        </w:rPr>
        <w:t>Security Administration</w:t>
      </w:r>
      <w:r>
        <w:rPr>
          <w:rFonts w:ascii="Times New Roman;Times;Serif" w:hAnsi="Times New Roman;Times;Serif"/>
          <w:b w:val="false"/>
          <w:i w:val="false"/>
          <w:caps w:val="false"/>
          <w:smallCaps w:val="false"/>
          <w:sz w:val="20"/>
        </w:rPr>
        <w:t>”), was published by the State Council on September 24, 2024 and became effective on January 1, 2025. The Security Administration provides that data processing operators engaging in data processing activities that affect or may affect national security must be subject to network data security review by the relevant Cyberspace Administration of the PRC. According to the Security Administration, data processing operators who possess personal data of at least one million users or collect data that affects or may affect national security must be subject to network data security review by the relevant Cyberspace Administration of the PRC. As confirmed by our PRC counsel, Sino Pro Law Firm, we are not subject to cybersecurity review by the CAC under the Cybersecurity Review Measures, nor are we subject to network data security review if the Security Administration are enacted as proposed, since Haoxi Beijing’s business does not involve processing users’ personal information and it is not deemed as a critical information infrastructure operator (“</w:t>
      </w:r>
      <w:r>
        <w:rPr>
          <w:rFonts w:ascii="Times New Roman;Times;Serif" w:hAnsi="Times New Roman;Times;Serif"/>
          <w:b/>
          <w:i w:val="false"/>
          <w:caps w:val="false"/>
          <w:smallCaps w:val="false"/>
          <w:sz w:val="20"/>
        </w:rPr>
        <w:t>CIIO</w:t>
      </w:r>
      <w:r>
        <w:rPr>
          <w:rFonts w:ascii="Times New Roman;Times;Serif" w:hAnsi="Times New Roman;Times;Serif"/>
          <w:b w:val="false"/>
          <w:i w:val="false"/>
          <w:caps w:val="false"/>
          <w:smallCaps w:val="false"/>
          <w:sz w:val="20"/>
        </w:rPr>
        <w:t>”), nor is it an online platform operator with personal information of more than one million users. See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Risk Factors—Risks Related to Doing Business in China—Any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in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China Securities Regulatory Commission (the “</w:t>
      </w:r>
      <w:r>
        <w:rPr>
          <w:rFonts w:ascii="Times New Roman;Times;Serif" w:hAnsi="Times New Roman;Times;Serif"/>
          <w:b/>
          <w:i w:val="false"/>
          <w:caps w:val="false"/>
          <w:smallCaps w:val="false"/>
          <w:sz w:val="20"/>
        </w:rPr>
        <w:t>CSRC</w:t>
      </w:r>
      <w:r>
        <w:rPr>
          <w:rFonts w:ascii="Times New Roman;Times;Serif" w:hAnsi="Times New Roman;Times;Serif"/>
          <w:b w:val="false"/>
          <w:i w:val="false"/>
          <w:caps w:val="false"/>
          <w:smallCaps w:val="false"/>
          <w:sz w:val="20"/>
        </w:rPr>
        <w:t>”), released the Trial Administrative Measures of the Overseas Securities Offering and Listing by Domestic Companies and five ancillary interpretive guidelines, or collectively, the Overseas Listing Trial Measures, which came into effect on March 31, 2023. According to the Overseas Listing Trial Measures, Chinese domestic companies that seek to offer and list securities in overseas markets, either in direct or indirect means, are required to fulfill the filing procedures with the CSRC and report relevant information. On the same day, the CSRC also held a press conference for the release of the Overseas Listing Trial Measures and issued the Notice on Administration for the Filing of Overseas Offering and Listing by Domestic Companies, which clarifies that on or prior to the effective date of the Overseas Listing Trial Measures, domestic companies that have already submitted valid applications for overseas offering and listing but have not obtained clearance from overseas regulatory authorities or stock exchanges may reasonably arrange the timing for submitting their filing applications with the CSRC, and must complete the filing before the completion of their overseas offering and listing. The required filing scope is not limited to the initial public offering, but also includes any subsequent overseas securities offering, single or multiple acquisition(s), share swap, transfer of shares or other means to seek an overseas direct or indirect listing and a secondary listing or dual major listing of issuers already listed overseas. As advised by our PRC counsel, Sino Pro Law Firm, since the operating entity accounted for more than 50% of our consolidated revenues, profit, total assets or net assets for the fiscal years ended June 30, 2025, and the key components of our operations are carried out in China, this offering is considered an indirect offering by China-based companies, and we are, therefore, subject to the Overseas Listing Trial Measures for filing procedures with the CSRC in connection with this offering and are required to file with the CSRC within three working days after the completion of this offering. We will submit our filing application to the CSRC within three working days after the completion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24, 2023, the CSRC and other relevant government authorities promulgated the Provisions on Strengthening the Confidentiality and Archives Administration of Overseas Securities Issuance and Listing by Domestic Enterprises which were issued in 2009, or the Provision on Confidentiality. The Provision on Confidentiality became effective on March 31, 2023. Pursuant to the Provision on Confidentiality, where a domestic enterprise provides or publicly discloses documents and materials involving state secrets and working secrets of state organs to the relevant securities companies, securities service institutions, overseas regulatory authorities and other entities and individuals, or provides or publicly discloses such information through its overseas listing subjects, it shall report to the competent department with the examination and approval authority for approval in accordance with the law, and submit to the secrecy administration department of the same level for filing. Domestic enterprises providing accounting archives or copies thereof to entities and individuals concerned such as securities companies, securities service institutions and overseas regulatory authorities shall complete the corresponding procedures pursuant to the relevant provisions of the State. We believe this offering will not involve the leaking of any state secret or working secret of government agencies, or the harming of national security and public interests. However, we may be required to perform additional procedures in connection with the provision of accounting archives.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these statements and regulatory actions by the PRC government are newly published and there exists uncertainty with respect to their requirements and implementation, it is highly uncertain what the potential impact such modified or new laws and regulations will have on our or Haoxi Beijing’s daily business operation, the ability to accept foreign investments and listing on U.S. exchanges. We cannot assure you that we will be able to fully comply with such rules, to conduct this offering, or to maintain the listing status of our securities, or to conduct any overseas securities offerings in the future. For details of the associated risks, see “Risk Factors—Risks Related to Doing Business in China—The CSRC has promulgated Overseas Listing Trial Measures on February 17, 2023. This offering will be determined to be an indirect overseas offering and is, therefore, subject to the CSRC filing procedures, which could significantly limit or completely hinder our ability to offer or continue to offer our Class A Ordinary Shares to investors and could cause the value of our Class A Ordinary Shares to significantly decline or become worthless” on page 7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filing procedures with the CSRC and reporting of relevant information according to the Overseas Listing Trial Measures, as of the date of this prospectus supplement, we are not required to obtain any other permission from any other PRC governmental authorities to offer securities to foreign investors. As of the date of this prospectus supplement, neither we nor our subsidiaries have received any inquiry, notice, warning, or sanction regarding our overseas listing from the CSRC or any other PRC governmental authorities. Since these statements and regulatory actions are newly published, however, official guidance and related implementation rules have not been issued. It is highly uncertain what the potential impact such modified or new laws and regulations will have on the daily business operations of our subsidiaries, our ability to accept foreign investments, and our listing on a U.S. exchange in the future. We cannot guarantee that new rules or regulations promulgated in the future will not impose any additional requirement on us, or the operating entity, or otherwise tightening the regulations on overseas listing of PRC domestic companies. If it is determined that this offering is subject to any other governmental authorization or requirements, we cannot assure you we or the operating entity could obtain such approval or meet such requirements in a timely manner or at all. Such failure may subject us or the operating entity to fines, penalties or other sanctions which may have a material adverse effect on our business and financial conditions as well as its ability to complete this offering. Although we endeavor to comply with all the applicable laws and regulations, if (i) the operating entity does not receive or maintain applicable permissions or approvals for our operation, and to offer the securities being registered to investors, or (ii) we inadvertently conclude that such permissions or approvals are not required, or applicable laws, regulations, or interpretations change and the operating entity is required to obtain permissions or approvals in the future, the operating entity’s business operation may be materially affected. There can be no assurance that we or the operating entity can obtain all requisite approvals without material disruption to the operating entity’s business. Therefore, any failure to obtain all requisite approvals may significantly limit or completely hinder our ability to offer or continue to offer securities to investors and could cause the value of such securities to significantly decline or be worthless. See “Risk Factors—Risks Related to Doing Business in China—The CSRC has promulgated Overseas Listing Trial Measures on February 17, 2023. This offering will be determined to be an indirect overseas offering and is, therefore, subject to CSRC the filing procedures, which could significantly limit or completely hinder our ability to offer or continue to offer our Class A Ordinary Shares to investors and could cause the value of our Class A Ordinary Shares to significantly decline or become worthless” on page 7 of this prospectus, and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Risk Factors—Risks Related to Doing Business in China—Any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in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Class A Ordinary Shares may be prohibited from trading on a national exchange under the Holding Foreign Companies Accountable Act, or the HFCA Act, as amended by the Accelerating Holding Foreign Companies Accountable Act, if the Public Company Accounting Oversight Board (United States) (the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is unable to inspect our auditors for two consecutive years. On December 16, 2021, the PCAOB issued a report on its determinations that it was unable to inspect or investigate completely PCAOB-registered public accounting firms headquartered in mainland China and in Hong Kong, a Special Administrative Region of the PRC, because of positions taken by PRC authorities in those jurisdictions. Our auditor, Wei, Wei &amp; Co., LLP, is not headquartered in mainland China or Hong Kong and was not identified in this report as a firm subject to the PCAOB’s determination. Our auditor, Wei, Wei &amp; Co., LLP,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auditor’s registration with the PCAOB took effect in March 2006, and it is currently subject to PCAOB inspections, having its last inspection completed as of December 31, 2022. The PCAOB currently has access to inspect the working papers of our auditor.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On August 26, 2022, the CSRC, the Ministry of Finance of the PRC (the “</w:t>
      </w:r>
      <w:r>
        <w:rPr>
          <w:rFonts w:ascii="Times New Roman;Times;Serif" w:hAnsi="Times New Roman;Times;Serif"/>
          <w:b/>
          <w:i w:val="false"/>
          <w:caps w:val="false"/>
          <w:smallCaps w:val="false"/>
          <w:sz w:val="20"/>
        </w:rPr>
        <w:t>MOF</w:t>
      </w:r>
      <w:r>
        <w:rPr>
          <w:rFonts w:ascii="Times New Roman;Times;Serif" w:hAnsi="Times New Roman;Times;Serif"/>
          <w:b w:val="false"/>
          <w:i w:val="false"/>
          <w:caps w:val="false"/>
          <w:smallCaps w:val="false"/>
          <w:sz w:val="20"/>
        </w:rPr>
        <w:t>”), and the PCAOB signed a Statement of Protocol (the “</w:t>
      </w:r>
      <w:r>
        <w:rPr>
          <w:rFonts w:ascii="Times New Roman;Times;Serif" w:hAnsi="Times New Roman;Times;Serif"/>
          <w:b/>
          <w:i w:val="false"/>
          <w:caps w:val="false"/>
          <w:smallCaps w:val="false"/>
          <w:sz w:val="20"/>
        </w:rPr>
        <w:t>Protocol</w:t>
      </w:r>
      <w:r>
        <w:rPr>
          <w:rFonts w:ascii="Times New Roman;Times;Serif" w:hAnsi="Times New Roman;Times;Serif"/>
          <w:b w:val="false"/>
          <w:i w:val="false"/>
          <w:caps w:val="false"/>
          <w:smallCaps w:val="false"/>
          <w:sz w:val="20"/>
        </w:rPr>
        <w:t>”), governing inspections and investigations of accounting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Board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Board will consider the need to issue a new determination. On December 29, 2022, President Biden signed into law the Accelerating Holding Foreign Companies Accountable Act as a part of the legislation entitled “Consolidated Appropriations Act, 2023” (the “</w:t>
      </w:r>
      <w:r>
        <w:rPr>
          <w:rFonts w:ascii="Times New Roman;Times;Serif" w:hAnsi="Times New Roman;Times;Serif"/>
          <w:b/>
          <w:i w:val="false"/>
          <w:caps w:val="false"/>
          <w:smallCaps w:val="false"/>
          <w:sz w:val="20"/>
        </w:rPr>
        <w:t>Consolidated Appropriations Act</w:t>
      </w:r>
      <w:r>
        <w:rPr>
          <w:rFonts w:ascii="Times New Roman;Times;Serif" w:hAnsi="Times New Roman;Times;Serif"/>
          <w:b w:val="false"/>
          <w:i w:val="false"/>
          <w:caps w:val="false"/>
          <w:smallCaps w:val="false"/>
          <w:sz w:val="20"/>
        </w:rPr>
        <w:t>”), amending the HFCA Act and requiring the SEC to prohibit an issuer’s securities from trading on any U.S. stock exchange if its auditor is not subject to PCAOB inspections for two consecutive years instead of three consecutive years.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 Act, if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Risk Factors—Risks Related to Doing Business in China—Recent joint statement by the SEC and the PCAOB, rule changes by Nasdaq, and the HFCA Act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 in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none of our subsidiaries have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If we determine to pay dividends on any of our Class A Ordinary Shares in the future, as a holding company, we will be dependent on receipt of funds from our PRC subsidiary, Haoxi Beijing. For more detailed discussion of how cash and other assets are transferred among our Company and our subsidiaries, see “Prospectus Summary—Dividend Distributions, Cash Transfer, and Tax Consequences,” our audited consolidated financial statements for the fiscal years ended June 30, 2022, 2023, 2024 and 2025 included in the 2025 Annual Report. To the extent cash in the business is in the PRC, such funds may not be available to fund operations or for other use outside of the PRC, due to interventions of, or the imposition of restrictions and limitations on the ability of our Company and Haoxi Beijing by, the PRC government to transfer cash. See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Risk Factors—Risks Related to Doing Business in China—To the extent cash or assets of our business, or of Haoxi Beijing, is in the PRC, such cash or assets may not be available to fund operations or for other use outside of the PRC, due to interventions of, or the imposition of restrictions and limitations by, the PRC government to the transfer of cash or assets” in our 2025 Annual Report. PRC regulations currently permit Haoxi Beijing to pay dividends only out of its accumulated profits, if any, as determined in accordance with PRC accounting standards and regulations. In addition, if Haoxi Beijing distributes its after-tax profits for the current financial year, it is required to set aside, at a minimum, 10% of its net income, if any, to fund a statutory surplus reserve until the cumulative amount of such reserve reaches 50% of its registered capital, and such reserve may not be distributed as cash dividends. PRC laws and regulations allow us to provide funding to Haoxi Beijing only through loans or capital contributions, subject to the filing or approval of government authorities and limits on the amount of capital contributions and loans. As a result, in the event that Haoxi Beijing incurs debt on its own behalf in the future, the instruments governing the debt may restrict any such entity’s ability to pay dividends or make other distributions to us. See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Risk Factors—Risks Related to Doing Business in China—PRC regulations of loans to, and direct investment in, PRC entities by offshore holding companies, and governmental control of currency conversion may limit our ability to use the proceeds of offshore offerings to make loans or additional capital contributions to Haoxi Beijing, which could materially and adversely affect our liquidity and our ability to fund and expand our business” in our 2025 Annual Report. Our finance department supervises cash management, following the instructions of our management. Our finance department is responsible for establishing our cash operation plan and coordinating cash management matters among our subsidiaries and departments. Each subsidiary and department initiate a cash request by putting forward a cash demand plan, which explains the specific amount and timing of cash requested, and submits it to our finance department. The finance department reviews the cash demand plan and prepares a summary for the management of our Company. Management examines and approves the allocation of cash based on the sources of cash and the priorities of the needs. Other than the above, we currently do not have other cash management policies or procedures that dictate how funds are transferred. In April 2024, the Company transferred $350,000 to Haoxi Information Limited (“</w:t>
      </w:r>
      <w:r>
        <w:rPr>
          <w:rFonts w:ascii="Times New Roman;Times;Serif" w:hAnsi="Times New Roman;Times;Serif"/>
          <w:b/>
          <w:i w:val="false"/>
          <w:caps w:val="false"/>
          <w:smallCaps w:val="false"/>
          <w:sz w:val="20"/>
        </w:rPr>
        <w:t>Haoxi HK</w:t>
      </w:r>
      <w:r>
        <w:rPr>
          <w:rFonts w:ascii="Times New Roman;Times;Serif" w:hAnsi="Times New Roman;Times;Serif"/>
          <w:b w:val="false"/>
          <w:i w:val="false"/>
          <w:caps w:val="false"/>
          <w:smallCaps w:val="false"/>
          <w:sz w:val="20"/>
        </w:rPr>
        <w:t>”), and then Haoxi HK transferred $300,000 to Beijing Haoxi Health Technology Co., Limited (the “</w:t>
      </w:r>
      <w:r>
        <w:rPr>
          <w:rFonts w:ascii="Times New Roman;Times;Serif" w:hAnsi="Times New Roman;Times;Serif"/>
          <w:b/>
          <w:i w:val="false"/>
          <w:caps w:val="false"/>
          <w:smallCaps w:val="false"/>
          <w:sz w:val="20"/>
        </w:rPr>
        <w:t>WFOE</w:t>
      </w:r>
      <w:r>
        <w:rPr>
          <w:rFonts w:ascii="Times New Roman;Times;Serif" w:hAnsi="Times New Roman;Times;Serif"/>
          <w:b w:val="false"/>
          <w:i w:val="false"/>
          <w:caps w:val="false"/>
          <w:smallCaps w:val="false"/>
          <w:sz w:val="20"/>
        </w:rPr>
        <w:t>”). In May 2024, the Company transferred $950,000 to Haoxi HK. In October 2024, the Company transferred $2,000,000 to Haoxi HK. In January 2025, the Company transferred $200,000 to Haoxi HK, then Haoxi HK transferred $200,000 to WFOE. In April 2025, the Company transferred $200,000 to Haoxi HK. In June 2025, the Company transferred $1,000,000 to Haoxi HK.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under the federal securities laws and will be subject to reduced public company reporting requirements. For more detailed discussion, see “Prospectus Summary</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Implications of Our Being an “Emerging Growth Company” and “Item 3. Key Information</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D. Risk Factors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Risks Relating to the Class A Ordinary Shares and the Trading Market</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We are an “emerging growth company” within the meaning of the Securities Act, and if we take advantage of certain exemptions from disclosure requirements available to emerging growth companies, this will make it more difficult to compare our performance with other public companies” and “</w:t>
      </w:r>
      <w:r>
        <w:rPr>
          <w:rFonts w:ascii="Times New Roman;Times;Serif" w:hAnsi="Times New Roman;Times;Serif"/>
          <w:b w:val="false"/>
          <w:i w:val="false"/>
          <w:caps w:val="false"/>
          <w:smallCaps w:val="false"/>
          <w:sz w:val="20"/>
          <w:shd w:fill="FFFFFF" w:val="clear"/>
        </w:rPr>
        <w:t>Because we are an “emerging growth company,” we may not be subject to requirements that other public companies are subject to, which could affect investor confidence in us and our Class A Ordinary Shares” in our 2025 Annual Report.</w:t>
      </w:r>
    </w:p>
    <w:p>
      <w:pPr>
        <w:pStyle w:val="TextBody"/>
        <w:bidi w:val="0"/>
        <w:spacing w:before="0" w:after="0"/>
        <w:ind w:left="0" w:right="0" w:firstLine="720"/>
        <w:jc w:val="both"/>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3095"/>
        <w:gridCol w:w="60"/>
        <w:gridCol w:w="213"/>
        <w:gridCol w:w="1037"/>
        <w:gridCol w:w="60"/>
        <w:gridCol w:w="60"/>
        <w:gridCol w:w="60"/>
        <w:gridCol w:w="1280"/>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 Share </w:t>
              <w:br/>
              <w:t xml:space="preserve">or </w:t>
              <w:br/>
              <w:t>Pre-Funded</w:t>
              <w:b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Offering Price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4,000,000.00</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Placement Agent’s Fees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1037" w:type="dxa"/>
            <w:tcBorders/>
            <w:shd w:fill="FFFFFF" w:val="clear"/>
            <w:vAlign w:val="center"/>
          </w:tcPr>
          <w:p>
            <w:pPr>
              <w:pStyle w:val="TableContents"/>
              <w:bidi w:val="0"/>
              <w:spacing w:before="0" w:after="283"/>
              <w:jc w:val="right"/>
              <w:rPr/>
            </w:pPr>
            <w:r>
              <w:rPr/>
              <w:t>0.0280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280,000.00</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0.3720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3,720,000.00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pay the placement agent a fee equal to the sum of 7.0% of the aggregate purchase price paid by the investors placed by the placement agent. We have also agreed to pay to the placement agent a non-accountable expense reimbursement equal to 0.5% of the gross proceeds from this offering, and to the placement agent up to $60,000 for the reasonable and accounted fees and expenses. For additional information about the compensation paid to the placement agent, see “Plan of Distribution” beginning on page S-15 of this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delivery of the securities being offered pursuant to this prospectus supplement and the accompanying prospectus will be made on or about July 13, 2026, subject to customary closing conditions.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Univest Securities, LLC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5105"/>
        <w:gridCol w:w="455"/>
      </w:tblGrid>
      <w:tr>
        <w:trPr/>
        <w:tc>
          <w:tcPr>
            <w:tcW w:w="510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1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 Supplement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w:t>
            </w:r>
          </w:p>
        </w:tc>
      </w:tr>
      <w:tr>
        <w:trPr/>
        <w:tc>
          <w:tcPr>
            <w:tcW w:w="510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Supplement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51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S-7</w:t>
            </w:r>
          </w:p>
        </w:tc>
      </w:tr>
      <w:tr>
        <w:trPr/>
        <w:tc>
          <w:tcPr>
            <w:tcW w:w="510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Cautionary Statement Regarding 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S-10</w:t>
            </w:r>
          </w:p>
        </w:tc>
      </w:tr>
      <w:tr>
        <w:trPr/>
        <w:tc>
          <w:tcPr>
            <w:tcW w:w="51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S-11</w:t>
            </w:r>
          </w:p>
        </w:tc>
      </w:tr>
      <w:tr>
        <w:trPr/>
        <w:tc>
          <w:tcPr>
            <w:tcW w:w="510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Dividend Policy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S-11</w:t>
            </w:r>
          </w:p>
        </w:tc>
      </w:tr>
      <w:tr>
        <w:trPr/>
        <w:tc>
          <w:tcPr>
            <w:tcW w:w="51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Dilution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S-12</w:t>
            </w:r>
          </w:p>
        </w:tc>
      </w:tr>
      <w:tr>
        <w:trPr/>
        <w:tc>
          <w:tcPr>
            <w:tcW w:w="510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S-15</w:t>
            </w:r>
          </w:p>
        </w:tc>
      </w:tr>
      <w:tr>
        <w:trPr/>
        <w:tc>
          <w:tcPr>
            <w:tcW w:w="51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S-16</w:t>
            </w:r>
          </w:p>
        </w:tc>
      </w:tr>
      <w:tr>
        <w:trPr/>
        <w:tc>
          <w:tcPr>
            <w:tcW w:w="510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S-16</w:t>
            </w:r>
          </w:p>
        </w:tc>
      </w:tr>
      <w:tr>
        <w:trPr/>
        <w:tc>
          <w:tcPr>
            <w:tcW w:w="51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S-16</w:t>
            </w:r>
          </w:p>
        </w:tc>
      </w:tr>
      <w:tr>
        <w:trPr/>
        <w:tc>
          <w:tcPr>
            <w:tcW w:w="510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Incorporation of Certain Information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3725"/>
        <w:gridCol w:w="455"/>
      </w:tblGrid>
      <w:tr>
        <w:trPr/>
        <w:tc>
          <w:tcPr>
            <w:tcW w:w="372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3725" w:type="dxa"/>
            <w:tcBorders/>
            <w:shd w:fill="CCEEFF" w:val="clear"/>
            <w:vAlign w:val="center"/>
          </w:tcPr>
          <w:p>
            <w:pPr>
              <w:pStyle w:val="TableContents"/>
              <w:bidi w:val="0"/>
              <w:spacing w:before="0" w:after="283"/>
              <w:jc w:val="left"/>
              <w:rPr/>
            </w:pPr>
            <w:hyperlink w:anchor="b_001">
              <w:r>
                <w:rPr>
                  <w:rStyle w:val="InternetLink"/>
                  <w:rFonts w:ascii="Times New Roman;Times;Serif" w:hAnsi="Times New Roman;Times;Serif"/>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3725" w:type="dxa"/>
            <w:tcBorders/>
            <w:shd w:fill="FFFFFF" w:val="clear"/>
            <w:vAlign w:val="center"/>
          </w:tcPr>
          <w:p>
            <w:pPr>
              <w:pStyle w:val="TableContents"/>
              <w:bidi w:val="0"/>
              <w:spacing w:before="0" w:after="283"/>
              <w:jc w:val="left"/>
              <w:rPr/>
            </w:pPr>
            <w:hyperlink w:anchor="b_002">
              <w:r>
                <w:rPr>
                  <w:rStyle w:val="InternetLink"/>
                  <w:rFonts w:ascii="Times New Roman;Times;Serif" w:hAnsi="Times New Roman;Times;Serif"/>
                  <w:sz w:val="20"/>
                </w:rPr>
                <w:t>Commonly Used Defined Terms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3725" w:type="dxa"/>
            <w:tcBorders/>
            <w:shd w:fill="CCEEFF" w:val="clear"/>
            <w:vAlign w:val="center"/>
          </w:tcPr>
          <w:p>
            <w:pPr>
              <w:pStyle w:val="TableContents"/>
              <w:bidi w:val="0"/>
              <w:spacing w:before="0" w:after="283"/>
              <w:jc w:val="left"/>
              <w:rPr/>
            </w:pPr>
            <w:hyperlink w:anchor="b_003">
              <w:r>
                <w:rPr>
                  <w:rStyle w:val="InternetLink"/>
                  <w:rFonts w:ascii="Times New Roman;Times;Serif" w:hAnsi="Times New Roman;Times;Serif"/>
                  <w:sz w:val="20"/>
                </w:rPr>
                <w:t>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iv</w:t>
            </w:r>
          </w:p>
        </w:tc>
      </w:tr>
      <w:tr>
        <w:trPr/>
        <w:tc>
          <w:tcPr>
            <w:tcW w:w="3725" w:type="dxa"/>
            <w:tcBorders/>
            <w:shd w:fill="FFFFFF" w:val="clear"/>
            <w:vAlign w:val="center"/>
          </w:tcPr>
          <w:p>
            <w:pPr>
              <w:pStyle w:val="TableContents"/>
              <w:bidi w:val="0"/>
              <w:spacing w:before="0" w:after="283"/>
              <w:jc w:val="left"/>
              <w:rPr/>
            </w:pPr>
            <w:hyperlink w:anchor="b_004">
              <w:r>
                <w:rPr>
                  <w:rStyle w:val="InternetLink"/>
                  <w:rFonts w:ascii="Times New Roman;Times;Serif" w:hAnsi="Times New Roman;Times;Serif"/>
                  <w:sz w:val="20"/>
                </w:rPr>
                <w:t>Prospectus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3725" w:type="dxa"/>
            <w:tcBorders/>
            <w:shd w:fill="CCEEFF" w:val="clear"/>
            <w:vAlign w:val="center"/>
          </w:tcPr>
          <w:p>
            <w:pPr>
              <w:pStyle w:val="TableContents"/>
              <w:bidi w:val="0"/>
              <w:spacing w:before="0" w:after="283"/>
              <w:jc w:val="left"/>
              <w:rPr/>
            </w:pPr>
            <w:hyperlink w:anchor="b_005">
              <w:r>
                <w:rPr>
                  <w:rStyle w:val="InternetLink"/>
                  <w:rFonts w:ascii="Times New Roman;Times;Serif" w:hAnsi="Times New Roman;Times;Serif"/>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3725" w:type="dxa"/>
            <w:tcBorders/>
            <w:shd w:fill="FFFFFF" w:val="clear"/>
            <w:vAlign w:val="center"/>
          </w:tcPr>
          <w:p>
            <w:pPr>
              <w:pStyle w:val="TableContents"/>
              <w:bidi w:val="0"/>
              <w:spacing w:before="0" w:after="283"/>
              <w:jc w:val="left"/>
              <w:rPr/>
            </w:pPr>
            <w:hyperlink w:anchor="b_006">
              <w:r>
                <w:rPr>
                  <w:rStyle w:val="InternetLink"/>
                  <w:rFonts w:ascii="Times New Roman;Times;Serif" w:hAnsi="Times New Roman;Times;Serif"/>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3725" w:type="dxa"/>
            <w:tcBorders/>
            <w:shd w:fill="CCEEFF" w:val="clear"/>
            <w:vAlign w:val="center"/>
          </w:tcPr>
          <w:p>
            <w:pPr>
              <w:pStyle w:val="TableContents"/>
              <w:bidi w:val="0"/>
              <w:spacing w:before="0" w:after="283"/>
              <w:jc w:val="left"/>
              <w:rPr/>
            </w:pPr>
            <w:hyperlink w:anchor="b_007">
              <w:r>
                <w:rPr>
                  <w:rStyle w:val="InternetLink"/>
                  <w:rFonts w:ascii="Times New Roman;Times;Serif" w:hAnsi="Times New Roman;Times;Serif"/>
                  <w:sz w:val="20"/>
                </w:rPr>
                <w:t>Dilution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3725" w:type="dxa"/>
            <w:tcBorders/>
            <w:shd w:fill="FFFFFF" w:val="clear"/>
            <w:vAlign w:val="center"/>
          </w:tcPr>
          <w:p>
            <w:pPr>
              <w:pStyle w:val="TableContents"/>
              <w:bidi w:val="0"/>
              <w:spacing w:before="0" w:after="283"/>
              <w:jc w:val="left"/>
              <w:rPr/>
            </w:pPr>
            <w:hyperlink w:anchor="b_008">
              <w:r>
                <w:rPr>
                  <w:rStyle w:val="InternetLink"/>
                  <w:rFonts w:ascii="Times New Roman;Times;Serif" w:hAnsi="Times New Roman;Times;Serif"/>
                  <w:sz w:val="20"/>
                </w:rPr>
                <w:t>Description of Share Capital</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3725" w:type="dxa"/>
            <w:tcBorders/>
            <w:shd w:fill="CCEEFF" w:val="clear"/>
            <w:vAlign w:val="center"/>
          </w:tcPr>
          <w:p>
            <w:pPr>
              <w:pStyle w:val="TableContents"/>
              <w:bidi w:val="0"/>
              <w:spacing w:before="0" w:after="283"/>
              <w:jc w:val="left"/>
              <w:rPr/>
            </w:pPr>
            <w:hyperlink w:anchor="b_009">
              <w:r>
                <w:rPr>
                  <w:rStyle w:val="InternetLink"/>
                  <w:rFonts w:ascii="Times New Roman;Times;Serif" w:hAnsi="Times New Roman;Times;Serif"/>
                  <w:sz w:val="20"/>
                </w:rPr>
                <w:t>Description of Debt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3725" w:type="dxa"/>
            <w:tcBorders/>
            <w:shd w:fill="FFFFFF" w:val="clear"/>
            <w:vAlign w:val="center"/>
          </w:tcPr>
          <w:p>
            <w:pPr>
              <w:pStyle w:val="TableContents"/>
              <w:bidi w:val="0"/>
              <w:spacing w:before="0" w:after="283"/>
              <w:jc w:val="left"/>
              <w:rPr/>
            </w:pPr>
            <w:hyperlink w:anchor="b_020">
              <w:r>
                <w:rPr>
                  <w:rStyle w:val="InternetLink"/>
                  <w:rFonts w:ascii="Times New Roman;Times;Serif" w:hAnsi="Times New Roman;Times;Serif"/>
                  <w:sz w:val="20"/>
                </w:rPr>
                <w:t>Description of Warrants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3725" w:type="dxa"/>
            <w:tcBorders/>
            <w:shd w:fill="CCEEFF" w:val="clear"/>
            <w:vAlign w:val="center"/>
          </w:tcPr>
          <w:p>
            <w:pPr>
              <w:pStyle w:val="TableContents"/>
              <w:bidi w:val="0"/>
              <w:spacing w:before="0" w:after="283"/>
              <w:jc w:val="left"/>
              <w:rPr/>
            </w:pPr>
            <w:hyperlink w:anchor="b_010">
              <w:r>
                <w:rPr>
                  <w:rStyle w:val="InternetLink"/>
                  <w:rFonts w:ascii="Times New Roman;Times;Serif" w:hAnsi="Times New Roman;Times;Serif"/>
                  <w:sz w:val="20"/>
                </w:rPr>
                <w:t>Description of Units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3725" w:type="dxa"/>
            <w:tcBorders/>
            <w:shd w:fill="FFFFFF" w:val="clear"/>
            <w:vAlign w:val="center"/>
          </w:tcPr>
          <w:p>
            <w:pPr>
              <w:pStyle w:val="TableContents"/>
              <w:bidi w:val="0"/>
              <w:spacing w:before="0" w:after="283"/>
              <w:jc w:val="left"/>
              <w:rPr/>
            </w:pPr>
            <w:hyperlink w:anchor="b_011">
              <w:r>
                <w:rPr>
                  <w:rStyle w:val="InternetLink"/>
                  <w:rFonts w:ascii="Times New Roman;Times;Serif" w:hAnsi="Times New Roman;Times;Serif"/>
                  <w:sz w:val="20"/>
                </w:rPr>
                <w:t>Description of Rights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3725" w:type="dxa"/>
            <w:tcBorders/>
            <w:shd w:fill="CCEEFF" w:val="clear"/>
            <w:vAlign w:val="center"/>
          </w:tcPr>
          <w:p>
            <w:pPr>
              <w:pStyle w:val="TableContents"/>
              <w:bidi w:val="0"/>
              <w:spacing w:before="0" w:after="283"/>
              <w:jc w:val="left"/>
              <w:rPr/>
            </w:pPr>
            <w:hyperlink w:anchor="b_012">
              <w:r>
                <w:rPr>
                  <w:rStyle w:val="InternetLink"/>
                  <w:rFonts w:ascii="Times New Roman;Times;Serif" w:hAnsi="Times New Roman;Times;Serif"/>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3725" w:type="dxa"/>
            <w:tcBorders/>
            <w:shd w:fill="FFFFFF" w:val="clear"/>
            <w:vAlign w:val="center"/>
          </w:tcPr>
          <w:p>
            <w:pPr>
              <w:pStyle w:val="TableContents"/>
              <w:bidi w:val="0"/>
              <w:spacing w:before="0" w:after="283"/>
              <w:jc w:val="left"/>
              <w:rPr/>
            </w:pPr>
            <w:hyperlink w:anchor="b_013">
              <w:r>
                <w:rPr>
                  <w:rStyle w:val="InternetLink"/>
                  <w:rFonts w:ascii="Times New Roman;Times;Serif" w:hAnsi="Times New Roman;Times;Serif"/>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3725" w:type="dxa"/>
            <w:tcBorders/>
            <w:shd w:fill="CCEEFF" w:val="clear"/>
            <w:vAlign w:val="center"/>
          </w:tcPr>
          <w:p>
            <w:pPr>
              <w:pStyle w:val="TableContents"/>
              <w:bidi w:val="0"/>
              <w:spacing w:before="0" w:after="283"/>
              <w:jc w:val="left"/>
              <w:rPr/>
            </w:pPr>
            <w:hyperlink w:anchor="b_014">
              <w:r>
                <w:rPr>
                  <w:rStyle w:val="InternetLink"/>
                  <w:rFonts w:ascii="Times New Roman;Times;Serif" w:hAnsi="Times New Roman;Times;Serif"/>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3725" w:type="dxa"/>
            <w:tcBorders/>
            <w:shd w:fill="FFFFFF" w:val="clear"/>
            <w:vAlign w:val="center"/>
          </w:tcPr>
          <w:p>
            <w:pPr>
              <w:pStyle w:val="TableContents"/>
              <w:bidi w:val="0"/>
              <w:spacing w:before="0" w:after="283"/>
              <w:jc w:val="left"/>
              <w:rPr/>
            </w:pPr>
            <w:hyperlink w:anchor="b_015">
              <w:r>
                <w:rPr>
                  <w:rStyle w:val="InternetLink"/>
                  <w:rFonts w:ascii="Times New Roman;Times;Serif" w:hAnsi="Times New Roman;Times;Serif"/>
                  <w:sz w:val="20"/>
                </w:rPr>
                <w:t>Financial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3725" w:type="dxa"/>
            <w:tcBorders/>
            <w:shd w:fill="CCEEFF" w:val="clear"/>
            <w:vAlign w:val="center"/>
          </w:tcPr>
          <w:p>
            <w:pPr>
              <w:pStyle w:val="TableContents"/>
              <w:bidi w:val="0"/>
              <w:spacing w:before="0" w:after="283"/>
              <w:jc w:val="left"/>
              <w:rPr/>
            </w:pPr>
            <w:hyperlink w:anchor="b_016">
              <w:r>
                <w:rPr>
                  <w:rStyle w:val="InternetLink"/>
                  <w:rFonts w:ascii="Times New Roman;Times;Serif" w:hAnsi="Times New Roman;Times;Serif"/>
                  <w:sz w:val="20"/>
                </w:rPr>
                <w:t>Information Incorporated by Reference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3725" w:type="dxa"/>
            <w:tcBorders/>
            <w:shd w:fill="FFFFFF" w:val="clear"/>
            <w:vAlign w:val="center"/>
          </w:tcPr>
          <w:p>
            <w:pPr>
              <w:pStyle w:val="TableContents"/>
              <w:bidi w:val="0"/>
              <w:spacing w:before="0" w:after="283"/>
              <w:jc w:val="left"/>
              <w:rPr/>
            </w:pPr>
            <w:hyperlink w:anchor="b_017">
              <w:r>
                <w:rPr>
                  <w:rStyle w:val="InternetLink"/>
                  <w:rFonts w:ascii="Times New Roman;Times;Serif" w:hAnsi="Times New Roman;Times;Serif"/>
                  <w:sz w:val="20"/>
                </w:rPr>
                <w:t>Where You Can Find More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3725" w:type="dxa"/>
            <w:tcBorders/>
            <w:shd w:fill="CCEEFF" w:val="clear"/>
            <w:vAlign w:val="center"/>
          </w:tcPr>
          <w:p>
            <w:pPr>
              <w:pStyle w:val="TableContents"/>
              <w:bidi w:val="0"/>
              <w:spacing w:before="0" w:after="283"/>
              <w:jc w:val="left"/>
              <w:rPr/>
            </w:pPr>
            <w:hyperlink w:anchor="b_018">
              <w:r>
                <w:rPr>
                  <w:rStyle w:val="InternetLink"/>
                  <w:rFonts w:ascii="Times New Roman;Times;Serif" w:hAnsi="Times New Roman;Times;Serif"/>
                  <w:sz w:val="20"/>
                </w:rPr>
                <w:t>Enforceability of Civil Liabilities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3725" w:type="dxa"/>
            <w:tcBorders/>
            <w:shd w:fill="FFFFFF" w:val="clear"/>
            <w:vAlign w:val="center"/>
          </w:tcPr>
          <w:p>
            <w:pPr>
              <w:pStyle w:val="TableContents"/>
              <w:bidi w:val="0"/>
              <w:spacing w:before="0" w:after="283"/>
              <w:jc w:val="left"/>
              <w:rPr/>
            </w:pPr>
            <w:hyperlink w:anchor="b_019">
              <w:r>
                <w:rPr>
                  <w:rStyle w:val="InternetLink"/>
                  <w:rFonts w:ascii="Times New Roman;Times;Serif" w:hAnsi="Times New Roman;Times;Serif"/>
                  <w:sz w:val="20"/>
                </w:rPr>
                <w:t>Indemnification for Securities Act Liabilities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accompanying prospectus relates to part of a registration statement on Form F-3, as amended (File No. 333-287686), that we have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utilizing a “shelf” registration process. Under this shelf registration process, we may sell the securities described in our base prospectus included in the shelf registration statement in one or more offerings up to a total aggregate offering price of $80,000,000. As of July 10, 2026, we have not sold $6,455,799.51 of our securities under that shelf registration statement. We sometimes refer to the Class A Ordinary Shares as the “securities” throughout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two parts. The first part is this prospectus supplement, which describes the terms of this offering of the Class A Ordinary Shares and Pre-Funded Warrants, and also adds, updates and changes information contained in the accompanying prospectus and the documents incorporated herein and therein by reference. This prospectus supplement relates only to an offering of 300,000 Class A Ordinary Shares and 9,700,000 Pre-Funded Warrants to purchase up to 9,700,000 Class A Ordinary Shares. The second part is the accompanying prospectus, which gives more general information about us, some of which may not apply to this offering. You should read both this prospectus supplement and the accompanying prospectus, including the information incorporated by reference herein and therein. To the extent the information contained in this prospectus supplement differs or varies from the information contained in the accompanying prospectus or any document filed prior to the date of this prospectus supplement and incorporated herein or therein by reference, the information in this prospectus supplement will control; provided, that if any statement in one of these documents is inconsistent with a statement in another document having a later date, the statement in the document having the later date modifies or supersedes the earlier statement. In addition, this prospectus supplement and the accompanying prospectus do not contain all of the information provided in the registration statement that we filed with the SEC that contains the accompanying prospectus (including the exhibits to the registration statement). For further information about us, you should refer to that registration statement, which you can obtain from the SEC as described elsewhere in this prospectus supplement under “Where You Can Find More Information” and “Incorporation of Certain Information by Reference.” You may obtain a copy of this prospectus supplement, the accompanying prospectus and any of the documents incorporated by reference without charge by requesting it from us in writing or by telephone at the following address or telephone number: Haoxi Health Technology Ltd., Room 801, Tower C, Floor 8, Building 103, Huizhongli Chaoyang District, Beijing, China, Tel: +86-10-13311587976.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supplement and the accompanying prospectus. We have not authorized anyone to provide you with information that is different. No dealer, salesperson or other person is authorized to give any information or to represent anything not contained in or incorporated by reference into this prospectus supplement and the accompanying prospectus, and you must not rely upon any information or representation not contained in or incorporated by reference into this prospectus supplement or the accompanying prospectus. This prospectus supplement and the accompanying prospectus do not constitute an offer to sell or solicitation of an offer to buy these securities in any circumstances under which the offer or solicitation is unlawful. We are offering to sell, and seeking offers to buy, our securities offered hereby only in jurisdictions where offers and sales are permitted. You should not assume that the information we have included in this prospectus supplement or the accompanying prospectus is accurate as of any date other than the date of this prospectus supplement or the accompanying prospectus, respectively, or that any information we have incorporated by reference is accurate as of any date other than the date of the document incorporated by reference, regardless of the time of delivery of this prospectus supplement and the accompanying prospectus or of any of our securities.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supplement, “we,” “us,” “our,” the “Company”, “HAO”, and “Haoxi Cayman” refer to Haoxi Health Technology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the U.S. dollar and references to “dollars” or “$” are to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jc w:val="center"/>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a_002"/>
      <w:bookmarkEnd w:id="3"/>
      <w:r>
        <w:rPr>
          <w:rFonts w:ascii="Times New Roman;Times;Serif" w:hAnsi="Times New Roman;Times;Serif"/>
          <w:b/>
          <w:i w:val="false"/>
          <w:caps w:val="false"/>
          <w:smallCaps w:val="false"/>
          <w:sz w:val="20"/>
          <w:bdr w:val="single" w:sz="12" w:space="1" w:color="000000"/>
        </w:rPr>
        <w:t>PROSPECTUS SUPPLEMENT 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information contained elsewhere or incorporated by reference into this prospectus supplement and the accompanying prospectus. This summary does not contain all of the information that you should consider before investing in our securities. You should carefully read the entire prospectus supplement and the accompanying prospectus, including the “Risk Factors” section, starting on page S-7 of this prospectus supplement and in the documents incorporated by reference into this prospectus supplement and the accompanying prospectus, as well as the financial statements and notes thereto and the other information incorporated by reference herein and therein, before making an investment decision.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offshore holding company incorporated in the Cayman Islands as an exempted company limited by shares. Exempted companies are Cayman Island companies conducting business mainly outside the Cayman Islands and, as such, are exempted from complying with certain provisions of the Companies Act (as Revised) of the Cayman Islands (the “</w:t>
      </w:r>
      <w:r>
        <w:rPr>
          <w:rFonts w:ascii="Times New Roman;Times;Serif" w:hAnsi="Times New Roman;Times;Serif"/>
          <w:b/>
          <w:i w:val="false"/>
          <w:caps w:val="false"/>
          <w:smallCaps w:val="false"/>
          <w:sz w:val="20"/>
          <w:bdr w:val="single" w:sz="12" w:space="1" w:color="000000"/>
        </w:rPr>
        <w:t>Cayman Companies Act</w:t>
      </w:r>
      <w:r>
        <w:rPr>
          <w:rFonts w:ascii="Times New Roman;Times;Serif" w:hAnsi="Times New Roman;Times;Serif"/>
          <w:b w:val="false"/>
          <w:i w:val="false"/>
          <w:caps w:val="false"/>
          <w:smallCaps w:val="false"/>
          <w:sz w:val="20"/>
          <w:bdr w:val="single" w:sz="12" w:space="1" w:color="000000"/>
        </w:rPr>
        <w:t>”). As a holding company with no material operations of our own, our operations are conducted in China through our wholly owned indirect PRC subsidiary, Haoxi Beijing. This is an offering of securities of the offshore holding company in the Cayman Islands, instead of securities of the operating entity in China. Therefore, you will not directly hold any equity interests in the operating entity.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diagram illustrates our corporate structure as of the date of this prospectus supplement. For more details on our corporate history, please refer to “Corporate History and Structure.”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3895725" cy="414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95725" cy="4143375"/>
                    </a:xfrm>
                    <a:prstGeom prst="rect">
                      <a:avLst/>
                    </a:prstGeom>
                  </pic:spPr>
                </pic:pic>
              </a:graphicData>
            </a:graphic>
          </wp:inline>
        </w:drawing>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jc w:val="center"/>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Currently, we directly hold 100% equity interests in our subsidiaries, and we do not currently use a variable interest entity (“VIE”) structure.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subject to certain legal and operational risks associated with business operations of Haoxi Beijing in China, which could cause the value of our securities to significantly decline or become worthless. Applicable PRC laws and regulations governing such current business operations are sometimes vague and uncertain, and as a result these risks may result in material changes in the operations of Haoxi Beijing, significant depreciation or a complete loss of the value of our Class A Ordinary Shares, or a complete hindrance of our ability to offer, or continue to offer, our securities to investors.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Beijing Haoxi, the operating entity, is an online marketing solution provider in China, with an advertiser client base mainly in the healthcare industry. The growth of the operating entity in recent years has benefited from the quick increase of news feed ads, its major form of ad placement, in the industry of online marketing in China. In addition, the healthcare industry in China has developed rapidly because of the growth both in the average income and the aging population, which provide a conducive environment for the development of the operating entity’s business. The operating entity has a management team with several years of experience in marketing for healthcare companies. Its own data analysis software “Bidding Compass” has helped it obtain a large volume of ad placement data. Moreover, it has developed a stable placement history with mainstream online advertising platforms in China and has been working closely with them since its establishment in 2018.</w:t>
      </w:r>
    </w:p>
    <w:p>
      <w:pPr>
        <w:pStyle w:val="TextBody"/>
        <w:shd w:fill="FFFFFF" w:val="clear"/>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The operating entity mainly generates its revenue by providing one-stop online marketing solutions, in particular, it provides online short video ads for advertiser customers through its media partners. Media partners include both media platforms (such as Toutiao and Douyin), as well as authorized third-party agents of media platforms, through which the operating entity places ads for its advertiser customers when it has no direct contact with the platform. The operating entity procures ad slots from the media partners (which it regards as its suppliers) to place ads for its advertiser customers. The operating entity provides customized marketing solutions by planning, producing, placing, and optimizing online ads, especially online short video ads, to help its advertisers acquire, convert, and retain ultimate consumers on various online media platforms. The operating entity has served approximately 2,000 advertisers since its incorporation in 2018, the majority of which are healthcare companies. During the six months ended December 31, 2024, it served 389 advertisers, of which 345 were healthcare companies. During the fiscal years ended June 30, 2025, 2024, and 2023, it served 473, 543, and 393 advertisers, respectively, of which 414, 471, and 341 were healthcare companies, respectively. The operating entity primarily places its ads through mainstream online short video platforms and social media platforms in China, such as Toutiao, Douyin, WeChat, and Weibo. The operating entity is dedicated to reducing costs and increasing efficiency for its advertisers and offering them easy online marketing solutions. </w:t>
      </w:r>
      <w:r>
        <w:rPr>
          <w:rFonts w:ascii="Times New Roman;Times;Serif" w:hAnsi="Times New Roman;Times;Serif"/>
          <w:b w:val="false"/>
          <w:i w:val="false"/>
          <w:caps w:val="false"/>
          <w:smallCaps w:val="false"/>
          <w:sz w:val="20"/>
          <w:bdr w:val="single" w:sz="12" w:space="1" w:color="000000"/>
          <w:shd w:fill="FFFFFF" w:val="clear"/>
        </w:rPr>
        <w:t>Driven by the growing demand for personalized and high-quality services in the healthcare and medical aesthetics sectors, and in response to evolving macro-consumption trends, Haoxi Beijing has officially launched its livestreaming agency services in April 2025. As of the date of this prospectus supplement, Haoxi Beijing is still in the process of researching and developing the service offerings, and has yet to generate any sizeable revenue from this livestreaming agency service.</w:t>
      </w:r>
    </w:p>
    <w:p>
      <w:pPr>
        <w:pStyle w:val="TextBody"/>
        <w:shd w:fill="FFFFFF" w:val="clear"/>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the fiscal year ended June 30, 2025, we had revenue of $32.80 million, and net income of $3,876,680. For the fiscal years ended June 30, 2024, 2023 and 2022, we had revenue of $48.52million, $28.23 million and $16.16 million, respectively, and net income of $1,291,667, $969,752 and $244,587, respectively.</w:t>
      </w:r>
    </w:p>
    <w:p>
      <w:pPr>
        <w:pStyle w:val="TextBody"/>
        <w:shd w:fill="FFFFFF" w:val="clear"/>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jc w:val="center"/>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Dividend Distributions, Cash Transfer, and Tax Consequences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supplement, none of our subsidiaries have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If we determine to pay dividends on any of our Class A Ordinary Shares in the future, as a holding company, we will be dependent on receipt of funds from our PRC subsidiary, Haoxi Beijing. For more detailed discussion of how cash and other assets are transferred among our Company and our subsidiaries, see our audited consolidated financial statements (“CFS”) as of and for the fiscal years ended June 30, 2025 and 2024 included in “Item 18. Financial Statements” in our 2025 Annual Report furnished by the Company on October 20, 2025.</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To the extent cash in the business is in the PRC, such funds may not be available to fund operations or for other use outside of the PRC, due to interventions of, or the imposition of restrictions and limitations on, the ability of our Company and Haoxi Beijing by the PRC government to transfer cash. See “Item 3. Key Information—D. Risk Factors—Risks Related to Doing Business in China—To the extent cash or assets of our business, or of Haoxi Beijing, is in the PRC, such cash or assets may not be available to fund operations or for other use outside of the PRC, due to interventions of, or the imposition of restrictions and limitations by, the PRC government to the transfer of cash or assets.” in our 2025 Annual Report. PRC regulations currently permit Haoxi Beijing to pay dividends only out of its accumulated profits, if any, as determined in accordance with PRC accounting standards and regulations. In addition, if Haoxi Beijing distributes its after-tax profits for the current financial year, it is required to set aside, at a minimum, 10% of its net income, if any, to fund a statutory surplus reserve until the cumulative amount of such reserve reaches 50% of its registered capital, and such reserve may not be distributed as cash dividends. PRC laws and regulations allow us to provide funding to Haoxi Beijing only through loans or capital contributions, subject to the filing or approval of government authorities and limits on the amount of capital contributions and loans. As a result, in the event that Haoxi Beijing incurs debt on its own behalf in the future, the instruments governing the debt may restrict any such entity’s ability to pay dividends or make other distributions to us. See “Item 3. Key Information—D. Risk Factors—Risks Related to Doing Business in China—PRC regulations of loans to, and direct investment in, PRC entities by offshore holding companies, and governmental control of currency conversion may limit our ability to use the proceeds of offshore offering to make loans or additional capital contributions to Haoxi Beijing, which could materially and adversely affect our liquidity and our ability to fund and expand our business.” in our 2025 Annual Report.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finance department supervises cash management, following the instructions of our management. Our finance department is responsible for establishing our cash operation plan and coordinating cash management matters among our subsidiaries and departments. Each subsidiary and department initiates a cash request by putting forward a cash demand plan, which explains the specific amount and timing of cash requested, and submits it to our finance department. The finance department reviews the cash demand plan and prepares a summary for the management of our Company. Management examines and approves the allocation of cash based on the sources of cash and the priorities of the needs. Other than the above, we currently do not have other cash management policies or procedures that dictate how funds are transferred. In April 2024, the Company transferred $350,000 to Haoxi HK, and then Haoxi HK transferred $300,000 to WFOE. In May 2024, the Company transferred $950,000 to Haoxi HK. In October 2024, the Company transferred $2,000,000 to Haoxi HK. In January 2025, the Company transferred $200,000 to Haoxi HK, then Haoxi HK transferred $200,000 to WFOE. In April 2025, the Company transferred $200,000 to Haoxi HK. In June 2025, the Company transferred $1,000,000 to Haoxi HK.</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Our Being an “Emerging Growth Company”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company with less than $1.235 billion in revenue during our last fiscal year, we qualify as an “emerging growth company” as defined in the Jumpstart Our Business Startups Act of 2012, or the “JOBS Act.” An “emerging growth company” may take advantage of reduced reporting requirements that are otherwise applicable to larger public companies. In particular, as an emerging growth company, we: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present only two years of audited financial statements and only two years of related Management’s Discussion and Analysis of Financial Condition and Results of Operations;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jc w:val="center"/>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required to provide a detailed narrative disclosure discussing our compensation principles, objectives and elements and analyzing how those elements fit with our principles and objectives, which is commonly referred to as “compensation discussion and analysis”;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required to obtain an attestation and report from our auditors on our management’s assessment of our internal control over financial reporting pursuant to the Sarbanes-Oxley Act of 2002;</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required to obtain a non-binding advisory vote from our shareholders on executive compensation or golden parachute arrangements (commonly referred to as the “say-on-pay,” “say-on frequency,” and “say-on-golden-parachute” votes);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exempt from certain executive compensation disclosure provisions requiring a pay-for-performance graph and chief executive officer pay ratio disclosure;</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eligible to claim longer phase-in periods for the adoption of new or revised financial accounting standards under §107 of the JOBS Act; and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will not be required to conduct an evaluation of our internal control over financial reporting until our second annual report on Form 20-F following the effectiveness of our initial public offering.</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intend to take advantage of all of these reduced reporting requirements and exemptions, including the longer phase-in periods for the adoption of new or revised financial accounting standards under §107 of the JOBS Act. Our election to use the phase-in periods may make it difficult to compare our financial statements to those of non-emerging growth companies and other emerging growth companies that have opted out of the phase-in periods under §107 of the JOBS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JOBS Act, we may take advantage of the above-described reduced reporting requirements and exemptions until we no longer meet the definition of an emerging growth company. The JOBS Act provides that we would cease to be an “emerging growth company” at the end of the fiscal year in which the fifth anniversary of our initial sale of common equity pursuant to a registration statement declared effective under the Securities Act of 1933, as amended (the “Securities Act”), occurred, if we have more than $1.235 billion in annual revenue, have more than $700 million in market value of our Class A Ordinary Shares held by non-affiliates, or issue more than $1 billion in principal amount of non-convertible debt over a three-year period.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jc w:val="center"/>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Room 801, Tower C, Floor 8, Building 103, Huizhongli Chaoyang District, Beijing, China. Our telephone number at that address is +86-10-1311587976. Our company website is http://www.haoximedia.com/. The information contained on our website or available through our website is not incorporated by reference into and should not be considered a part of this prospectus supplement.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Foreign Private Issuer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non-U.S. company with foreign private issuer status, and we will be exempt from certain provisions of the Exchange Act that are applicable to U.S. domestic public companies, including: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9565" w:type="dxa"/>
        <w:jc w:val="left"/>
        <w:tblInd w:w="0" w:type="dxa"/>
        <w:tblLayout w:type="fixed"/>
        <w:tblCellMar>
          <w:top w:w="0" w:type="dxa"/>
          <w:left w:w="0" w:type="dxa"/>
          <w:bottom w:w="0" w:type="dxa"/>
          <w:right w:w="0" w:type="dxa"/>
        </w:tblCellMar>
      </w:tblPr>
      <w:tblGrid>
        <w:gridCol w:w="75"/>
        <w:gridCol w:w="170"/>
        <w:gridCol w:w="9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Exchange Act requiring domestic filers to issue financial statements prepared under U.S. GAAP;</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regulating the solicitation of proxies, consents or authorizations in respect of a security registered under the Exchange Act;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requiring insiders to file public reports of their share ownership and trading activities and liability for insiders who profit from trades made in a short period of time; and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Exchange Act requiring the filing with the SEC of quarterly reports on Form 10-Q containing unaudited financial statements and other specified information, and current reports on Form 8-K upon the occurrence of specified significant events.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Notwithstanding these exemptions, we will file with the SEC, within four months after the end of each fiscal year, or such applicable time as required by the SEC, an annual report on Form 20-F containing financial statements audited by an independent registered public accounting firm.</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foreign private issuers are also exempt from certain more stringent executive compensation disclosure rules.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jc w:val="center"/>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26"/>
        <w:gridCol w:w="60"/>
        <w:gridCol w:w="8619"/>
      </w:tblGrid>
      <w:tr>
        <w:trPr/>
        <w:tc>
          <w:tcPr>
            <w:tcW w:w="1526" w:type="dxa"/>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Class A Ordinary Shares offered by us</w:t>
            </w:r>
          </w:p>
        </w:tc>
        <w:tc>
          <w:tcPr>
            <w:tcW w:w="60"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300,000 Class A Ordinary Shares</w:t>
            </w:r>
          </w:p>
        </w:tc>
      </w:tr>
      <w:tr>
        <w:trPr/>
        <w:tc>
          <w:tcPr>
            <w:tcW w:w="1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ind w:left="0" w:right="0" w:hanging="180"/>
              <w:jc w:val="both"/>
              <w:rPr/>
            </w:pPr>
            <w:r>
              <w:rPr/>
              <w:t> </w:t>
            </w:r>
          </w:p>
        </w:tc>
      </w:tr>
      <w:tr>
        <w:trPr/>
        <w:tc>
          <w:tcPr>
            <w:tcW w:w="152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Pre-Funded Warrants offered by us</w:t>
            </w:r>
          </w:p>
        </w:tc>
        <w:tc>
          <w:tcPr>
            <w:tcW w:w="60"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9,700,000 Pre-Funded Warrants to purchase up to 9,700,000 Class A Ordinary Shares. The Pre-Funded Warrants will be immediately exercisable and may be exercised at any time until all of the Pre-Funded Warrants are exercised in full.</w:t>
            </w:r>
          </w:p>
        </w:tc>
      </w:tr>
      <w:tr>
        <w:trPr/>
        <w:tc>
          <w:tcPr>
            <w:tcW w:w="1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619" w:type="dxa"/>
            <w:tcBorders/>
            <w:vAlign w:val="center"/>
          </w:tcPr>
          <w:p>
            <w:pPr>
              <w:pStyle w:val="TableContents"/>
              <w:bidi w:val="0"/>
              <w:spacing w:before="0" w:after="283"/>
              <w:ind w:left="0" w:right="0" w:hanging="180"/>
              <w:jc w:val="both"/>
              <w:rPr/>
            </w:pPr>
            <w:r>
              <w:rPr/>
              <w:t> </w:t>
            </w:r>
          </w:p>
        </w:tc>
      </w:tr>
      <w:tr>
        <w:trPr/>
        <w:tc>
          <w:tcPr>
            <w:tcW w:w="152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Offering Price</w:t>
            </w:r>
          </w:p>
        </w:tc>
        <w:tc>
          <w:tcPr>
            <w:tcW w:w="60" w:type="dxa"/>
            <w:tcBorders/>
            <w:vAlign w:val="center"/>
          </w:tcPr>
          <w:p>
            <w:pPr>
              <w:pStyle w:val="TableContents"/>
              <w:bidi w:val="0"/>
              <w:spacing w:before="0" w:after="283"/>
              <w:jc w:val="both"/>
              <w:rPr/>
            </w:pPr>
            <w:r>
              <w:rPr/>
              <w:t> </w:t>
            </w:r>
          </w:p>
        </w:tc>
        <w:tc>
          <w:tcPr>
            <w:tcW w:w="861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of the Class A Ordinary Shares is $0.40 per share.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each Pre-Funded Warrant is equal to the public offering price for the Class A Shares less the $0.33 per share exercise price of each such Pre-Funded Warrant which is $0.07.</w:t>
            </w:r>
          </w:p>
        </w:tc>
      </w:tr>
      <w:tr>
        <w:trPr/>
        <w:tc>
          <w:tcPr>
            <w:tcW w:w="1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619" w:type="dxa"/>
            <w:tcBorders/>
            <w:vAlign w:val="center"/>
          </w:tcPr>
          <w:p>
            <w:pPr>
              <w:pStyle w:val="TableContents"/>
              <w:bidi w:val="0"/>
              <w:spacing w:before="0" w:after="283"/>
              <w:ind w:left="0" w:right="0" w:hanging="180"/>
              <w:jc w:val="both"/>
              <w:rPr/>
            </w:pPr>
            <w:r>
              <w:rPr/>
              <w:t> </w:t>
            </w:r>
          </w:p>
        </w:tc>
      </w:tr>
      <w:tr>
        <w:trPr/>
        <w:tc>
          <w:tcPr>
            <w:tcW w:w="152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Class A Shares outstanding prior to this offering</w:t>
            </w:r>
          </w:p>
        </w:tc>
        <w:tc>
          <w:tcPr>
            <w:tcW w:w="60" w:type="dxa"/>
            <w:tcBorders/>
            <w:vAlign w:val="center"/>
          </w:tcPr>
          <w:p>
            <w:pPr>
              <w:pStyle w:val="TableContents"/>
              <w:bidi w:val="0"/>
              <w:spacing w:before="0" w:after="283"/>
              <w:jc w:val="both"/>
              <w:rPr/>
            </w:pPr>
            <w:r>
              <w:rPr/>
              <w:t> </w:t>
            </w:r>
          </w:p>
        </w:tc>
        <w:tc>
          <w:tcPr>
            <w:tcW w:w="8619"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1,904,632</w:t>
            </w:r>
          </w:p>
        </w:tc>
      </w:tr>
      <w:tr>
        <w:trPr/>
        <w:tc>
          <w:tcPr>
            <w:tcW w:w="1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619" w:type="dxa"/>
            <w:tcBorders/>
            <w:vAlign w:val="center"/>
          </w:tcPr>
          <w:p>
            <w:pPr>
              <w:pStyle w:val="TableContents"/>
              <w:bidi w:val="0"/>
              <w:spacing w:before="0" w:after="283"/>
              <w:ind w:left="0" w:right="0" w:hanging="180"/>
              <w:jc w:val="both"/>
              <w:rPr/>
            </w:pPr>
            <w:r>
              <w:rPr/>
              <w:t> </w:t>
            </w:r>
          </w:p>
        </w:tc>
      </w:tr>
      <w:tr>
        <w:trPr/>
        <w:tc>
          <w:tcPr>
            <w:tcW w:w="152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Class A Shares outstanding prior to this offering</w:t>
            </w:r>
          </w:p>
        </w:tc>
        <w:tc>
          <w:tcPr>
            <w:tcW w:w="60" w:type="dxa"/>
            <w:tcBorders/>
            <w:vAlign w:val="center"/>
          </w:tcPr>
          <w:p>
            <w:pPr>
              <w:pStyle w:val="TableContents"/>
              <w:bidi w:val="0"/>
              <w:spacing w:before="0" w:after="283"/>
              <w:jc w:val="both"/>
              <w:rPr/>
            </w:pPr>
            <w:r>
              <w:rPr/>
              <w:t> </w:t>
            </w:r>
          </w:p>
        </w:tc>
        <w:tc>
          <w:tcPr>
            <w:tcW w:w="8619"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2,204,632 (11,904,632, assuming the Pre-Funded Warrants are exercised in full)</w:t>
            </w:r>
          </w:p>
        </w:tc>
      </w:tr>
      <w:tr>
        <w:trPr/>
        <w:tc>
          <w:tcPr>
            <w:tcW w:w="1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619" w:type="dxa"/>
            <w:tcBorders/>
            <w:vAlign w:val="center"/>
          </w:tcPr>
          <w:p>
            <w:pPr>
              <w:pStyle w:val="TableContents"/>
              <w:bidi w:val="0"/>
              <w:spacing w:before="0" w:after="283"/>
              <w:ind w:left="0" w:right="0" w:hanging="180"/>
              <w:jc w:val="both"/>
              <w:rPr/>
            </w:pPr>
            <w:r>
              <w:rPr/>
              <w:t> </w:t>
            </w:r>
          </w:p>
        </w:tc>
      </w:tr>
      <w:tr>
        <w:trPr/>
        <w:tc>
          <w:tcPr>
            <w:tcW w:w="152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Lock-Up Agreements</w:t>
            </w:r>
          </w:p>
        </w:tc>
        <w:tc>
          <w:tcPr>
            <w:tcW w:w="60" w:type="dxa"/>
            <w:tcBorders/>
            <w:vAlign w:val="center"/>
          </w:tcPr>
          <w:p>
            <w:pPr>
              <w:pStyle w:val="TableContents"/>
              <w:bidi w:val="0"/>
              <w:spacing w:before="0" w:after="283"/>
              <w:jc w:val="both"/>
              <w:rPr/>
            </w:pPr>
            <w:r>
              <w:rPr/>
              <w:t> </w:t>
            </w:r>
          </w:p>
        </w:tc>
        <w:tc>
          <w:tcPr>
            <w:tcW w:w="861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Each of the directors, officers, and 5% or more shareholders of the Company have entered into a lock-up agreement with the placement agent, pursuant to which, each lock-up party agreed, for a period of 90 days after the closing of this offering, no to  offer, pledge, sell, contract to sell, sell any option or contract to purchase, purchase any option or contract to sell, grant any option, right, or warrant to purchase, lend, or otherwise transfer or dispose of, directly or indirectly, our Class A Ordinary Shares or any securities convertible into or exercisable or exchangeable for our Class A Ordinary Shares;</w:t>
            </w:r>
          </w:p>
        </w:tc>
      </w:tr>
      <w:tr>
        <w:trPr/>
        <w:tc>
          <w:tcPr>
            <w:tcW w:w="1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619" w:type="dxa"/>
            <w:tcBorders/>
            <w:vAlign w:val="center"/>
          </w:tcPr>
          <w:p>
            <w:pPr>
              <w:pStyle w:val="TableContents"/>
              <w:bidi w:val="0"/>
              <w:spacing w:before="0" w:after="283"/>
              <w:ind w:left="0" w:right="0" w:hanging="180"/>
              <w:jc w:val="both"/>
              <w:rPr/>
            </w:pPr>
            <w:r>
              <w:rPr/>
              <w:t> </w:t>
            </w:r>
          </w:p>
        </w:tc>
      </w:tr>
      <w:tr>
        <w:trPr/>
        <w:tc>
          <w:tcPr>
            <w:tcW w:w="152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Plan of distribution</w:t>
            </w:r>
          </w:p>
        </w:tc>
        <w:tc>
          <w:tcPr>
            <w:tcW w:w="60"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have agreed to issue and sell the securities offered hereby to the purchasers through the placement agent. The placement agent is not required to buy or sell any specific number or dollar amount of the securities offered hereby, but it will use its best efforts to solicit offers to purchase the securities offered by this prospectus supplement.  See “Plan of Distribution” on page S-15 of this prospectus supplement.</w:t>
            </w:r>
          </w:p>
        </w:tc>
      </w:tr>
      <w:tr>
        <w:trPr/>
        <w:tc>
          <w:tcPr>
            <w:tcW w:w="1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619" w:type="dxa"/>
            <w:tcBorders/>
            <w:vAlign w:val="center"/>
          </w:tcPr>
          <w:p>
            <w:pPr>
              <w:pStyle w:val="TableContents"/>
              <w:bidi w:val="0"/>
              <w:spacing w:before="0" w:after="283"/>
              <w:ind w:left="0" w:right="0" w:hanging="180"/>
              <w:jc w:val="both"/>
              <w:rPr/>
            </w:pPr>
            <w:r>
              <w:rPr/>
              <w:t> </w:t>
            </w:r>
          </w:p>
        </w:tc>
      </w:tr>
      <w:tr>
        <w:trPr/>
        <w:tc>
          <w:tcPr>
            <w:tcW w:w="152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Use of proceeds </w:t>
            </w:r>
          </w:p>
        </w:tc>
        <w:tc>
          <w:tcPr>
            <w:tcW w:w="60"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intend to use the net proceeds from the sale of securities under this prospectus for general corporate purposes, which include but not limited to working capital, operating expenses, capital expenditures, potential acquisitions, business development activities, and other strategic initiatives in line with the Company’s growth plans. See “Use of Proceeds” on page S-11 of this prospectus supplement.</w:t>
            </w:r>
          </w:p>
        </w:tc>
      </w:tr>
      <w:tr>
        <w:trPr/>
        <w:tc>
          <w:tcPr>
            <w:tcW w:w="1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619" w:type="dxa"/>
            <w:tcBorders/>
            <w:vAlign w:val="center"/>
          </w:tcPr>
          <w:p>
            <w:pPr>
              <w:pStyle w:val="TableContents"/>
              <w:bidi w:val="0"/>
              <w:spacing w:before="0" w:after="283"/>
              <w:ind w:left="0" w:right="0" w:hanging="180"/>
              <w:jc w:val="both"/>
              <w:rPr/>
            </w:pPr>
            <w:r>
              <w:rPr/>
              <w:t> </w:t>
            </w:r>
          </w:p>
        </w:tc>
      </w:tr>
      <w:tr>
        <w:trPr/>
        <w:tc>
          <w:tcPr>
            <w:tcW w:w="152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Risk factors</w:t>
            </w:r>
          </w:p>
        </w:tc>
        <w:tc>
          <w:tcPr>
            <w:tcW w:w="60"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Investing in our Class A Ordinary Shares involves a high degree of risk. See “Risk Factors” beginning on page S-7 of this prospectus supplement and in the documents incorporated by reference into this prospectus supplement and the accompanying prospectus for a discussion of the risks you should carefully consider before deciding to invest in the Class A Ordinary Shares.</w:t>
            </w:r>
          </w:p>
        </w:tc>
      </w:tr>
      <w:tr>
        <w:trPr/>
        <w:tc>
          <w:tcPr>
            <w:tcW w:w="152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ind w:left="0" w:right="0" w:hanging="180"/>
              <w:jc w:val="both"/>
              <w:rPr/>
            </w:pPr>
            <w:r>
              <w:rPr/>
              <w:t> </w:t>
            </w:r>
          </w:p>
        </w:tc>
      </w:tr>
      <w:tr>
        <w:trPr/>
        <w:tc>
          <w:tcPr>
            <w:tcW w:w="152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Transfer agent and registrar</w:t>
            </w:r>
          </w:p>
        </w:tc>
        <w:tc>
          <w:tcPr>
            <w:tcW w:w="60"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Transhare Corporation</w:t>
            </w:r>
          </w:p>
        </w:tc>
      </w:tr>
      <w:tr>
        <w:trPr/>
        <w:tc>
          <w:tcPr>
            <w:tcW w:w="15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619" w:type="dxa"/>
            <w:tcBorders/>
            <w:vAlign w:val="center"/>
          </w:tcPr>
          <w:p>
            <w:pPr>
              <w:pStyle w:val="TableContents"/>
              <w:bidi w:val="0"/>
              <w:spacing w:before="0" w:after="283"/>
              <w:ind w:left="0" w:right="0" w:hanging="180"/>
              <w:jc w:val="both"/>
              <w:rPr/>
            </w:pPr>
            <w:r>
              <w:rPr/>
              <w:t> </w:t>
            </w:r>
          </w:p>
        </w:tc>
      </w:tr>
      <w:tr>
        <w:trPr/>
        <w:tc>
          <w:tcPr>
            <w:tcW w:w="152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Nasdaq Capital Market symbol</w:t>
            </w:r>
          </w:p>
        </w:tc>
        <w:tc>
          <w:tcPr>
            <w:tcW w:w="60" w:type="dxa"/>
            <w:tcBorders/>
            <w:vAlign w:val="center"/>
          </w:tcPr>
          <w:p>
            <w:pPr>
              <w:pStyle w:val="TableContents"/>
              <w:bidi w:val="0"/>
              <w:spacing w:before="0" w:after="283"/>
              <w:jc w:val="left"/>
              <w:rPr/>
            </w:pPr>
            <w:r>
              <w:rPr/>
              <w:t> </w:t>
            </w:r>
          </w:p>
        </w:tc>
        <w:tc>
          <w:tcPr>
            <w:tcW w:w="86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Class A Ordinary Shares are listed on the Nasdaq under the symbol “HAO.” </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Unless otherwise noted, the number of shares outstanding is based on 1,904,632 Class A Ordinary Shares and 317,897 Class B Ordinary Shares outstanding as of July 10, 2026.</w:t>
      </w:r>
    </w:p>
    <w:p>
      <w:pPr>
        <w:pStyle w:val="TextBody"/>
        <w:bidi w:val="0"/>
        <w:spacing w:before="0" w:after="0"/>
        <w:ind w:left="105"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significant risks. Before making an investment decision, you should carefully consider the risks described below and in our most recent Annual Report on Form 20-F, and in our other SEC filings incorporated by reference into this prospectus supplement and the accompanying prospectus, and in any amendment or update thereto reflected in our subsequent filings with the SEC and incorporated by reference into this prospectus supplement and the accompanying prospectus, together with all of the other information appearing in this prospectus supplement or the accompanying prospectus or incorporated by reference herein or therein, including in light of your particular investment objectives and financial circumstances. The risks so described are not the only risks we face. Additional risks not presently known to us or that we currently deem immaterial may also impair our business operations and become material.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under the caption “Cautionary Statement Regarding Forward-Looking Statements”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we have broad discretion in how we use the proceeds from this offering, we may use the proceeds in ways with which you disagree.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of this offering for working capital and for other general corporate purposes, which include operating expenses, capital expenditures, potential acquisitions, business development activities, and other strategic initiatives in line with the Company’s growth plans. Accordingly, our management will have significant flexibility in applying the net proceeds of this offering. You will be relying on the judgment of our management with regard to the use of these net proceeds, and you will not have the opportunity, as part of your investment decision, to assess whether the proceeds are being used in ways with which you would agree. It is possible that the net proceeds will be invested in a way that does not yield us a favorable, or any, return. The failure of our management to use the net proceeds effectively could have a material adverse effect on our business, financial condition, operating results and cash flow.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public market for the 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Pre-Funded Warrants offered hereby and we do not expect a market to develop. In addition the Pre-Funded Warrants offered in this offering are not and will not be listed on any securities exchange. Accordingly, investors may find it difficult to dispose of, or to obtain accurate quotations as to the market value of the Pre-Funded Warrants. This lack of a trading market could result in investors being unable to liquidate their investment in the Pre-Funded Warrants or to sell them at a price that reflects their value. The absence of a public market for the Pre-Funded Warrants could also reduce the liquidity and market price of our Class A Ordinary Shares to which these warrants are exercisable. Investors should be prepared to bear the risk of investment in the Pre-Funded Warrants indefinitely.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or acquisitions.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Class A Ordinary Shares or other securities convertible into or exchangeable for our Class A Ordinary Shares at prices that may not be the same as the price per share in this offering. We may sell shares or other securities in any future offering at a price per share that is less than the price per share paid by investors in this offering, and investors purchasing shares or other securities in the future could have rights superior to existing shareholders. The price per share at which we sell additional Class A Ordinary Shares, or securities convertible or exchangeable into our Class A Ordinary Shares, in future transactions or acquisitions may be higher or lower than the price per share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the Class A Ordinary Shares may be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Class A Ordinary Shares has fluctuated in the past. Consequently, the current market price of the Class A Ordinary Shares may not be indicative of future market prices, and we may be unable to sustain or increase the value of your investment in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do not anticipate paying any cash dividends in the foreseeable future.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plan to declare or pay any dividends in the foreseeable future on our Ordinary Shares. We currently intend to retain most, if not all, of our available funds and any future earnings to operate and expand our business. Therefore, you should not rely on an investment in Ordinary Shares as a source for any future dividend income. 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ADDITION TO THE ABOVE RISKS, BUSINESSES ARE OFTEN SUBJECT TO RISKS NOT FORESEEN OR FULLY APPRECIATED BY MANAGEMENT. IN REVIEWING THIS FILING, POTENTIAL INVESTORS SHOULD KEEP IN MIND THAT OTHER POSSIBLE RISKS MAY ADVERSELY IMPACT THE COMPANY’S BUSINESS OPERATIONS AND THE VALUE OF THE COMPANY’S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certain information incorporated by reference in this prospectus supplement and the accompanying prospectus contain “forward-looking statements” within the meaning of Section 27A of the Securities Act and Section 21E of the U.S. Securities Exchange Act of 1934, as amended, or the Exchange Act, and other securities laws. Forward-looking statements are often characterized by the use of forward-looking terminology such as “may,” “will,” “should,” “expects,” “plans,” “anticipates,” “believes,” “estimates,” “predicts,” “potential” “intends” or “continue,” or the negative of these terms or other comparable terminology.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services or products, and all statements (other than statements of historical facts) that address activities, events or developments that we intend, expect, project, believe or anticipate will or may occur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developments and business decisions to differ materially from those anticipated in these forward-looking statements include, among other things:</w:t>
      </w:r>
    </w:p>
    <w:p>
      <w:pPr>
        <w:pStyle w:val="TextBody"/>
        <w:bidi w:val="0"/>
        <w:spacing w:before="0" w:after="0"/>
        <w:ind w:left="0" w:right="0" w:firstLine="72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170"/>
        <w:gridCol w:w="20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goals and strategies;</w:t>
            </w:r>
          </w:p>
        </w:tc>
      </w:tr>
    </w:tbl>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market for our concrete products;</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demand for and market acceptance of our nutraceutical and dietary supplements products;</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to establish partnerships and develop new businesses;</w:t>
            </w:r>
          </w:p>
        </w:tc>
      </w:tr>
    </w:tbl>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170"/>
        <w:gridCol w:w="28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to invest in our business;</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70"/>
        <w:gridCol w:w="28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relationships with our partners;</w:t>
            </w:r>
          </w:p>
        </w:tc>
      </w:tr>
    </w:tbl>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business development,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conditions affecting our equity capital;</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70"/>
        <w:gridCol w:w="31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macroeconomic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170"/>
        <w:gridCol w:w="26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in our industry; and</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relevant government policies and regulations relating to our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all Pre Funded Warrants are exercised, we expect that the net proceeds from this Offering will be approximately $3.59 million, net of placement agent fees and other offering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securities under this prospectus for general corporate purposes, which include operating expenses, capital expenditures, potential acquisitions, business development activities which may include expanding relationships with new and existing customers and channel partners, strengthening cooperation with media platform partners and other ecosystem participants, and supporting go-to-market initiatives for new or enhanced service offerings, and other strategic initiatives in line with the Company’s growth plans. The timing and amount of our actual expenditures will be based on many factors, and we cannot specify with certainty all of the particular uses of the net proceeds from this offering. Accordingly, our management will have significant discretion and flexibility in applying the net proceeds of this offering. We have no current commitments or binding agreements with respect to any material acquisition of or investment in any technologies, products 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our use of the net proceeds from this offering, we may invest the net proceeds of this offering in a variety of capital preservation investments, including but not limited to short-term, investment grade, interest bearing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None of our subsidiaries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we determine to pay dividends on any of our Class A Ordinary Shares in the future, as a holding company, we will be dependent on receipt of funds from our PRC subsidiary, Haoxi Beijing. For more detailed discussion of how cash and other assets are transferred among our Company and our subsidiaries, see our audited consolidated financial statements (“</w:t>
      </w:r>
      <w:r>
        <w:rPr>
          <w:rFonts w:ascii="Times New Roman;Times;Serif" w:hAnsi="Times New Roman;Times;Serif"/>
          <w:b/>
          <w:i w:val="false"/>
          <w:caps w:val="false"/>
          <w:smallCaps w:val="false"/>
          <w:sz w:val="20"/>
          <w:shd w:fill="FFFFFF" w:val="clear"/>
        </w:rPr>
        <w:t>CFS</w:t>
      </w:r>
      <w:r>
        <w:rPr>
          <w:rFonts w:ascii="Times New Roman;Times;Serif" w:hAnsi="Times New Roman;Times;Serif"/>
          <w:b w:val="false"/>
          <w:i w:val="false"/>
          <w:caps w:val="false"/>
          <w:smallCaps w:val="false"/>
          <w:sz w:val="20"/>
          <w:shd w:fill="FFFFFF" w:val="clear"/>
        </w:rPr>
        <w:t xml:space="preserve">”) as of and for the fiscal years ended June 30, 2025, 2024 and 2023 included in 2025 Annual Report.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discretion as to whether to distribute dividends, subject to certain requirements of Cayman Islands law. In addition, subject to the provisions in our articles of association, our shareholders may by ordinary resolution declare a dividend, but no dividend may exceed the amount recommended by our board of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Class A Ordinary Shares, you will experience immediate dilution to the extent of the difference between the public offering price of the Class A Ordinary Shares in this offering and the net tangible book value per Ordinary Share immediately after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per Ordinary Share is determined by dividing our total tangible assets, less total liabilities, by the actual number of outstanding Ordinary Shares. The net tangible book value of our Ordinary Shares as of December 31, 2025 was approximately $0.26 per share (or $32.86 per share as adjusted for the 128-for-1 reverse split effective on May 21, 2026). Net tangible book value per share represents the amount of our total tangible assets less our total liabilities, divided by 59,443,828, which is the total number of Class A Ordinary Shares and Class B Ordinary Shares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our Class A Ordinary Shares in a registered offering closed on May 12, 2026 for net proceeds of approximately $5.93 million, our pro forma net tangible book value as of December 31, 2025 would have been approximately $21.19 million, or $0.09 per share (or $11.10 per share as adjusted for the 128-for-1 reverse split effective on May 21, 2026). After giving effect to the sale of our Class A Ordinary Shares in this offering, assuming all Pre-Funded Warrants are exercised, our pro forma as adjusted net tangible book value as of December 31, 2025 would have been approximately $24.83 million, or $2.03 per share. This amount represents an immediate increase in net tangible book value of $3.64 million and an immediate decrease in net tangible book value per Ordinary Share of $9.06 as a result of this offering and an immediate accretion of approximately   -$1.63 per Class A Ordinary Share to investors purchasing Class A Ordinary Shares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on a per Class A Ordinary Share basis. The as adjusted information is illustrative only and will adjust based on the actual prices to the public, the actual number of Class A Ordinary Shares sold, and other terms of the offering determined at the times our Class A Ordinary Shares are sold pursuant to this prospectus. The Class A Ordinary Shares sold in this offering, if any, will be sold from time to time at various prices.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70"/>
        <w:gridCol w:w="60"/>
        <w:gridCol w:w="140"/>
        <w:gridCol w:w="560"/>
        <w:gridCol w:w="75"/>
      </w:tblGrid>
      <w:tr>
        <w:trPr/>
        <w:tc>
          <w:tcPr>
            <w:tcW w:w="9370" w:type="dxa"/>
            <w:tcBorders/>
            <w:shd w:fill="CCEEFF" w:val="clear"/>
            <w:vAlign w:val="center"/>
          </w:tcPr>
          <w:p>
            <w:pPr>
              <w:pStyle w:val="TableContents"/>
              <w:bidi w:val="0"/>
              <w:spacing w:before="0" w:after="283"/>
              <w:ind w:left="0" w:right="0" w:hanging="180"/>
              <w:jc w:val="left"/>
              <w:rPr/>
            </w:pPr>
            <w:r>
              <w:rPr/>
              <w:t>Assumed offering price per Class A Ordinary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0.40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370" w:type="dxa"/>
            <w:tcBorders/>
            <w:shd w:fill="FFFFFF" w:val="clear"/>
            <w:vAlign w:val="center"/>
          </w:tcPr>
          <w:p>
            <w:pPr>
              <w:pStyle w:val="TableContents"/>
              <w:bidi w:val="0"/>
              <w:spacing w:before="0" w:after="283"/>
              <w:jc w:val="left"/>
              <w:rPr/>
            </w:pPr>
            <w:r>
              <w:rPr/>
              <w:t>Net tangible book value per Class A Ordinary Share as of December 31, 2025, as adjusted for the 128-for-1 reverse split effective on May 21,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32.86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370" w:type="dxa"/>
            <w:tcBorders/>
            <w:shd w:fill="CCEEFF" w:val="clear"/>
            <w:vAlign w:val="center"/>
          </w:tcPr>
          <w:p>
            <w:pPr>
              <w:pStyle w:val="TableContents"/>
              <w:bidi w:val="0"/>
              <w:spacing w:before="0" w:after="283"/>
              <w:jc w:val="left"/>
              <w:rPr/>
            </w:pPr>
            <w:r>
              <w:rPr/>
              <w:t>Pro forma net tangible book value per Class A Ordinary Share after a registered offering closed on May 12, 2026 for net proceeds of approximately $5.93 million, as adjusted for the 128-for-1 reverse split effective on May 21,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370" w:type="dxa"/>
            <w:tcBorders/>
            <w:shd w:fill="FFFFFF" w:val="clear"/>
            <w:vAlign w:val="center"/>
          </w:tcPr>
          <w:p>
            <w:pPr>
              <w:pStyle w:val="TableContents"/>
              <w:bidi w:val="0"/>
              <w:spacing w:before="0" w:after="283"/>
              <w:jc w:val="left"/>
              <w:rPr/>
            </w:pPr>
            <w:r>
              <w:rPr/>
              <w:t>Pro forma as adjusted net tangible book value per Class A Ordinary Share after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2.03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370" w:type="dxa"/>
            <w:tcBorders/>
            <w:shd w:fill="CCEEFF" w:val="clear"/>
            <w:vAlign w:val="center"/>
          </w:tcPr>
          <w:p>
            <w:pPr>
              <w:pStyle w:val="TableContents"/>
              <w:bidi w:val="0"/>
              <w:spacing w:before="0" w:after="283"/>
              <w:jc w:val="left"/>
              <w:rPr/>
            </w:pPr>
            <w:r>
              <w:rPr/>
              <w:t>Decrease in pro forma as adjusted net tangible book value per Ordinary Share attributable to investors purchasing Class A Ordinary Shares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370" w:type="dxa"/>
            <w:tcBorders/>
            <w:shd w:fill="FFFFFF" w:val="clear"/>
            <w:vAlign w:val="center"/>
          </w:tcPr>
          <w:p>
            <w:pPr>
              <w:pStyle w:val="TableContents"/>
              <w:bidi w:val="0"/>
              <w:spacing w:before="0" w:after="283"/>
              <w:jc w:val="left"/>
              <w:rPr/>
            </w:pPr>
            <w:r>
              <w:rPr/>
              <w:t>Accretion  per Ordinary Share to investors purchasing Class A Ordinary Shares in the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-1.63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1,904,632 Class A Ordinary Shares and 317,897 Class B Ordinary Shares outstanding as of July 10, 2026. To the extent that we grant additional options or other awards under our stock incentive plan or issue additional warrants, or we issue additional Class A Ordinary Shares in the future, there may be further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choose to raise additional capital due to market conditions or strategic considerations even if we believe that we have sufficient funds for our current and future operating plans. To the extent that additional capital is raised through the sale of equity or convertible debt securities, the issuance of those securities could result in further dilution to the holders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capitalization as of December 31, 2025, presented on:</w:t>
      </w:r>
    </w:p>
    <w:p>
      <w:pPr>
        <w:pStyle w:val="TextBody"/>
        <w:bidi w:val="0"/>
        <w:spacing w:before="0" w:after="0"/>
        <w:ind w:left="0" w:right="0" w:hanging="0"/>
        <w:jc w:val="center"/>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75"/>
        <w:gridCol w:w="170"/>
        <w:gridCol w:w="12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actual basis;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 pro forma basis to reflect a registered offering closed on May 12, 2026 for net proceeds of approximately $5.93 million.</w:t>
            </w:r>
          </w:p>
        </w:tc>
      </w:tr>
    </w:tbl>
    <w:p>
      <w:pPr>
        <w:pStyle w:val="TextBody"/>
        <w:bidi w:val="0"/>
        <w:spacing w:before="0" w:after="0"/>
        <w:ind w:left="0" w:right="0" w:hanging="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 pro forma as adjusted basis to reflect this offering, assuming all Pre-Funded Warrants are exercised.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in conjunction with “Use of Proceeds,” “Selected Consolidated Financial Data,” “Management’s Discussion and Analysis of Financial Condition and Results of Operations” and our consolidated financial statements and related notes appearing in our 2025 Annual Report and consolidated financial statements for the six months ended December 31, 2025, incorporated by reference in this prospectus supplement.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26"/>
        <w:gridCol w:w="60"/>
        <w:gridCol w:w="140"/>
        <w:gridCol w:w="1101"/>
        <w:gridCol w:w="95"/>
        <w:gridCol w:w="60"/>
        <w:gridCol w:w="140"/>
        <w:gridCol w:w="1100"/>
        <w:gridCol w:w="95"/>
        <w:gridCol w:w="60"/>
        <w:gridCol w:w="140"/>
        <w:gridCol w:w="1105"/>
        <w:gridCol w:w="83"/>
      </w:tblGrid>
      <w:tr>
        <w:trPr/>
        <w:tc>
          <w:tcPr>
            <w:tcW w:w="6026"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403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83" w:type="dxa"/>
            <w:tcBorders/>
            <w:vAlign w:val="center"/>
          </w:tcPr>
          <w:p>
            <w:pPr>
              <w:pStyle w:val="TableContents"/>
              <w:bidi w:val="0"/>
              <w:spacing w:before="0" w:after="283"/>
              <w:ind w:left="0" w:right="0" w:hanging="180"/>
              <w:jc w:val="left"/>
              <w:rPr/>
            </w:pPr>
            <w:r>
              <w:rPr/>
              <w:t> </w:t>
            </w:r>
          </w:p>
        </w:tc>
      </w:tr>
      <w:tr>
        <w:trPr/>
        <w:tc>
          <w:tcPr>
            <w:tcW w:w="6026"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2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b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 Forma </w:t>
              <w:br/>
              <w:t>As Adjusted</w:t>
            </w:r>
          </w:p>
        </w:tc>
        <w:tc>
          <w:tcPr>
            <w:tcW w:w="83" w:type="dxa"/>
            <w:tcBorders/>
            <w:vAlign w:val="center"/>
          </w:tcPr>
          <w:p>
            <w:pPr>
              <w:pStyle w:val="TableContents"/>
              <w:bidi w:val="0"/>
              <w:spacing w:before="0" w:after="283"/>
              <w:ind w:left="0" w:right="0" w:hanging="180"/>
              <w:jc w:val="left"/>
              <w:rPr/>
            </w:pPr>
            <w:r>
              <w:rPr/>
              <w:t> </w:t>
            </w:r>
          </w:p>
        </w:tc>
      </w:tr>
      <w:tr>
        <w:trPr/>
        <w:tc>
          <w:tcPr>
            <w:tcW w:w="6026" w:type="dxa"/>
            <w:tcBorders/>
            <w:shd w:fill="CCEEFF" w:val="clear"/>
            <w:vAlign w:val="center"/>
          </w:tcPr>
          <w:p>
            <w:pPr>
              <w:pStyle w:val="TableContents"/>
              <w:bidi w:val="0"/>
              <w:spacing w:before="0" w:after="283"/>
              <w:jc w:val="left"/>
              <w:rPr>
                <w:b/>
              </w:rPr>
            </w:pPr>
            <w:r>
              <w:rPr>
                <w:b/>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1" w:type="dxa"/>
            <w:tcBorders/>
            <w:shd w:fill="CCEEFF" w:val="clear"/>
            <w:vAlign w:val="center"/>
          </w:tcPr>
          <w:p>
            <w:pPr>
              <w:pStyle w:val="TableContents"/>
              <w:bidi w:val="0"/>
              <w:spacing w:before="0" w:after="283"/>
              <w:jc w:val="right"/>
              <w:rPr/>
            </w:pPr>
            <w:r>
              <w:rPr/>
              <w:t>6,801,155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12,733,655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5" w:type="dxa"/>
            <w:tcBorders/>
            <w:shd w:fill="CCEEFF" w:val="clear"/>
            <w:vAlign w:val="center"/>
          </w:tcPr>
          <w:p>
            <w:pPr>
              <w:pStyle w:val="TableContents"/>
              <w:bidi w:val="0"/>
              <w:spacing w:before="0" w:after="283"/>
              <w:jc w:val="right"/>
              <w:rPr/>
            </w:pPr>
            <w:r>
              <w:rPr/>
              <w:t>16,373,655</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026" w:type="dxa"/>
            <w:tcBorders/>
            <w:shd w:fill="FFFFFF" w:val="clear"/>
            <w:vAlign w:val="center"/>
          </w:tcPr>
          <w:p>
            <w:pPr>
              <w:pStyle w:val="TableContents"/>
              <w:bidi w:val="0"/>
              <w:spacing w:before="0" w:after="283"/>
              <w:jc w:val="left"/>
              <w:rPr>
                <w:b/>
              </w:rPr>
            </w:pPr>
            <w:r>
              <w:rPr>
                <w:b/>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1" w:type="dxa"/>
            <w:tcBorders/>
            <w:shd w:fill="FFFFFF" w:val="clear"/>
            <w:vAlign w:val="center"/>
          </w:tcPr>
          <w:p>
            <w:pPr>
              <w:pStyle w:val="TableContents"/>
              <w:bidi w:val="0"/>
              <w:spacing w:before="0" w:after="283"/>
              <w:jc w:val="right"/>
              <w:rPr/>
            </w:pPr>
            <w:r>
              <w:rPr/>
              <w:t>266,048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266,048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5" w:type="dxa"/>
            <w:tcBorders/>
            <w:shd w:fill="FFFFFF" w:val="clear"/>
            <w:vAlign w:val="center"/>
          </w:tcPr>
          <w:p>
            <w:pPr>
              <w:pStyle w:val="TableContents"/>
              <w:bidi w:val="0"/>
              <w:spacing w:before="0" w:after="0"/>
              <w:ind w:left="0" w:right="0" w:hanging="0"/>
              <w:jc w:val="right"/>
              <w:rPr/>
            </w:pPr>
            <w:r>
              <w:rPr/>
              <w:t>266,048</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026" w:type="dxa"/>
            <w:tcBorders/>
            <w:shd w:fill="CCEEFF" w:val="clear"/>
            <w:vAlign w:val="center"/>
          </w:tcPr>
          <w:p>
            <w:pPr>
              <w:pStyle w:val="TableContents"/>
              <w:bidi w:val="0"/>
              <w:spacing w:before="0" w:after="283"/>
              <w:jc w:val="left"/>
              <w:rPr>
                <w:b/>
              </w:rPr>
            </w:pPr>
            <w:r>
              <w:rPr>
                <w:b/>
              </w:rPr>
              <w:t>Shareholders’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026" w:type="dxa"/>
            <w:tcBorders/>
            <w:shd w:fill="FFFFFF" w:val="clear"/>
            <w:vAlign w:val="center"/>
          </w:tcPr>
          <w:p>
            <w:pPr>
              <w:pStyle w:val="TableContents"/>
              <w:bidi w:val="0"/>
              <w:spacing w:before="0" w:after="283"/>
              <w:jc w:val="left"/>
              <w:rPr/>
            </w:pPr>
            <w:r>
              <w:rPr/>
              <w:t>Class A Ordinary Shares, $0.0025 par value, 300,000,000 shares authorized, 58,753,028 shares and 99,271,700 shares, issued and outstanding, on an actual and pro forma basis; $0.32 par value, 100,000,000,000,000 shares authorized, 12,222,529 shares issued and outstanding on a pro form as adjusted basis.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1" w:type="dxa"/>
            <w:tcBorders/>
            <w:shd w:fill="FFFFFF" w:val="clear"/>
            <w:vAlign w:val="center"/>
          </w:tcPr>
          <w:p>
            <w:pPr>
              <w:pStyle w:val="TableContents"/>
              <w:bidi w:val="0"/>
              <w:spacing w:before="0" w:after="283"/>
              <w:jc w:val="right"/>
              <w:rPr/>
            </w:pPr>
            <w:r>
              <w:rPr/>
              <w:t>146,884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609,471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5" w:type="dxa"/>
            <w:tcBorders/>
            <w:shd w:fill="FFFFFF" w:val="clear"/>
            <w:vAlign w:val="center"/>
          </w:tcPr>
          <w:p>
            <w:pPr>
              <w:pStyle w:val="TableContents"/>
              <w:bidi w:val="0"/>
              <w:spacing w:before="0" w:after="0"/>
              <w:ind w:left="0" w:right="0" w:hanging="0"/>
              <w:jc w:val="right"/>
              <w:rPr/>
            </w:pPr>
            <w:r>
              <w:rPr/>
              <w:t>3,809,471</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026" w:type="dxa"/>
            <w:tcBorders/>
            <w:shd w:fill="CCEEFF" w:val="clear"/>
            <w:vAlign w:val="center"/>
          </w:tcPr>
          <w:p>
            <w:pPr>
              <w:pStyle w:val="TableContents"/>
              <w:bidi w:val="0"/>
              <w:spacing w:before="0" w:after="283"/>
              <w:jc w:val="left"/>
              <w:rPr/>
            </w:pPr>
            <w:r>
              <w:rPr/>
              <w:t>Class B Ordinary Shares, $0.0025 par value, 100,000,000 shares authorized, 690,800 shares issued and outstanding, on an actual basis; $0.32 par value, 10,000,000,000,000 authorized, 317,897 shares issued and outstanding on a pro forma and pro forma as adjusted basis.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1,727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0"/>
              <w:ind w:left="0" w:right="0" w:hanging="0"/>
              <w:jc w:val="right"/>
              <w:rPr/>
            </w:pPr>
            <w:r>
              <w:rPr/>
              <w:t>1,727</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6026"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18,021,308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23,491,221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0"/>
              <w:ind w:left="0" w:right="0" w:hanging="0"/>
              <w:jc w:val="right"/>
              <w:rPr/>
            </w:pPr>
            <w:r>
              <w:rPr/>
              <w:t>23,931,221</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026" w:type="dxa"/>
            <w:tcBorders/>
            <w:shd w:fill="CCEEFF" w:val="clear"/>
            <w:vAlign w:val="center"/>
          </w:tcPr>
          <w:p>
            <w:pPr>
              <w:pStyle w:val="TableContents"/>
              <w:bidi w:val="0"/>
              <w:spacing w:before="0" w:after="283"/>
              <w:jc w:val="left"/>
              <w:rPr/>
            </w:pPr>
            <w:r>
              <w:rPr/>
              <w:t>(Accumulated deficits)/Retained earnings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(2,281,272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(2,281,272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0"/>
              <w:ind w:left="0" w:right="0" w:hanging="0"/>
              <w:jc w:val="right"/>
              <w:rPr/>
            </w:pPr>
            <w:r>
              <w:rPr/>
              <w:t>(2,281,272</w:t>
            </w:r>
          </w:p>
        </w:tc>
        <w:tc>
          <w:tcPr>
            <w:tcW w:w="83" w:type="dxa"/>
            <w:tcBorders/>
            <w:shd w:fill="CCEEFF" w:val="clear"/>
            <w:vAlign w:val="center"/>
          </w:tcPr>
          <w:p>
            <w:pPr>
              <w:pStyle w:val="TableContents"/>
              <w:bidi w:val="0"/>
              <w:spacing w:before="0" w:after="283"/>
              <w:ind w:left="0" w:right="0" w:hanging="180"/>
              <w:jc w:val="left"/>
              <w:rPr/>
            </w:pPr>
            <w:r>
              <w:rPr/>
              <w:t>)</w:t>
            </w:r>
          </w:p>
        </w:tc>
      </w:tr>
      <w:tr>
        <w:trPr/>
        <w:tc>
          <w:tcPr>
            <w:tcW w:w="6026" w:type="dxa"/>
            <w:tcBorders/>
            <w:shd w:fill="FFFFFF" w:val="clear"/>
            <w:vAlign w:val="center"/>
          </w:tcPr>
          <w:p>
            <w:pPr>
              <w:pStyle w:val="TableContents"/>
              <w:bidi w:val="0"/>
              <w:spacing w:before="0" w:after="283"/>
              <w:jc w:val="left"/>
              <w:rPr/>
            </w:pPr>
            <w:r>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1" w:type="dxa"/>
            <w:tcBorders>
              <w:bottom w:val="single" w:sz="12" w:space="0" w:color="000000"/>
            </w:tcBorders>
            <w:shd w:fill="FFFFFF" w:val="clear"/>
            <w:tcMar>
              <w:bottom w:w="28" w:type="dxa"/>
            </w:tcMar>
            <w:vAlign w:val="center"/>
          </w:tcPr>
          <w:p>
            <w:pPr>
              <w:pStyle w:val="TableContents"/>
              <w:bidi w:val="0"/>
              <w:spacing w:before="0" w:after="283"/>
              <w:jc w:val="right"/>
              <w:rPr/>
            </w:pPr>
            <w:r>
              <w:rPr/>
              <w:t>67,972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67,972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pPr>
            <w:r>
              <w:rPr/>
              <w:t>67,972</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6026"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1" w:type="dxa"/>
            <w:tcBorders>
              <w:bottom w:val="double" w:sz="10" w:space="0" w:color="000000"/>
            </w:tcBorders>
            <w:shd w:fill="CCEEFF" w:val="clear"/>
            <w:tcMar>
              <w:bottom w:w="28" w:type="dxa"/>
            </w:tcMar>
            <w:vAlign w:val="center"/>
          </w:tcPr>
          <w:p>
            <w:pPr>
              <w:pStyle w:val="TableContents"/>
              <w:bidi w:val="0"/>
              <w:spacing w:before="0" w:after="283"/>
              <w:jc w:val="right"/>
              <w:rPr/>
            </w:pPr>
            <w:r>
              <w:rPr/>
              <w:t>15,956,619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21,889,119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5" w:type="dxa"/>
            <w:tcBorders>
              <w:bottom w:val="double" w:sz="10" w:space="0" w:color="000000"/>
            </w:tcBorders>
            <w:shd w:fill="CCEEFF" w:val="clear"/>
            <w:tcMar>
              <w:bottom w:w="28" w:type="dxa"/>
            </w:tcMar>
            <w:vAlign w:val="center"/>
          </w:tcPr>
          <w:p>
            <w:pPr>
              <w:pStyle w:val="TableContents"/>
              <w:bidi w:val="0"/>
              <w:spacing w:before="0" w:after="0"/>
              <w:ind w:left="0" w:right="0" w:hanging="0"/>
              <w:jc w:val="right"/>
              <w:rPr/>
            </w:pPr>
            <w:r>
              <w:rPr/>
              <w:t>25,529,119</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and discussions above are based on 58,753,028 Class A Shares outstanding as of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SECURITIES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300,000 Class A Ordinary Shares and 9,700,000 Pre-Funded Warrants to purchase up to 9,700,000 Class A Ordinary Shares. The following description of our Class A Ordinary Shares and such Pre-Funded Warrants summarizes the material terms and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rights associated with the Class A Ordinary Shares, see “Description of Share Capital” in the accompanying prospectus. Our are listed on the Nasdaq Capital Market under the symbol “HAO.” Our transfer agent is TranShare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and provisions of the Pre-Funded Warrants offered hereby is not complete and is subject to, and qualified in its entirety by, the terms and provisions of the form of Warrant. Prospective investors should carefully review the terms and provisions set forth in the form of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Exercisability. </w:t>
      </w:r>
      <w:r>
        <w:rPr>
          <w:rFonts w:ascii="Times New Roman;Times;Serif" w:hAnsi="Times New Roman;Times;Serif"/>
          <w:b w:val="false"/>
          <w:i w:val="false"/>
          <w:caps w:val="false"/>
          <w:smallCaps w:val="false"/>
          <w:sz w:val="20"/>
        </w:rPr>
        <w:t>The Pre-Funded Warrants are exercisable at any time after their original issuance and at any time up to the date that is exercised in full. The Warrants will be exercisable, at the option of each holder, in whole or in part by delivering to us a duly executed exercise notice and, at any time a registration statement registering the issuance of the Class A Ordinary Shares underlying the warrants under the Securities Act is effective and available for the issuance of such shares, by payment in full in immediately available funds for the number of Class A Ordinary Shares purchased upon such exercise. If a registration statement registering the issuance of the Class A Ordinary Shares underlying the Pre-Funded Warrants under the Securities Act is not effective or available the holder may, in its sole discretion, elect to exercise the Pre-Funded Warrant through a cashless exercise, in which case the holder would receive upon such exercise the net number of Class A Ordinary Shares determined according to the formula set forth in the Pre-Funded Warrant. No fractional shares will be issued in connection with the exercise of a Pre-Funded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Limitation. </w:t>
      </w:r>
      <w:r>
        <w:rPr>
          <w:rFonts w:ascii="Times New Roman;Times;Serif" w:hAnsi="Times New Roman;Times;Serif"/>
          <w:b w:val="false"/>
          <w:i w:val="false"/>
          <w:caps w:val="false"/>
          <w:smallCaps w:val="false"/>
          <w:sz w:val="20"/>
        </w:rPr>
        <w:t>A holder will not have the right to exercise any portion of the Pre-Funded Warrant if the holder (together with its affiliates) would beneficially own in excess of 4.99% of the number of Ordinary Shares outstanding immediately after giving effect to the exercise, as such percentage ownership is determined in accordance with the terms of the Warrants. However, any holder may increase such percentage to any other percentage not in excess of 9.99%, provided that any increase in such percentage shall not be effective until 61 days following notice from the holder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Price and Warrant Shares. </w:t>
      </w:r>
      <w:r>
        <w:rPr>
          <w:rFonts w:ascii="Times New Roman;Times;Serif" w:hAnsi="Times New Roman;Times;Serif"/>
          <w:b w:val="false"/>
          <w:i w:val="false"/>
          <w:caps w:val="false"/>
          <w:smallCaps w:val="false"/>
          <w:sz w:val="20"/>
        </w:rPr>
        <w:t>The exercise price per whole Class A Ordinary Share purchasable upon exercise of the Pre-Funded Warrants is $0.33. Each Pre-Funded Warrant is exercisable to purchase one Class A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 </w:t>
      </w:r>
      <w:r>
        <w:rPr>
          <w:rFonts w:ascii="Times New Roman;Times;Serif" w:hAnsi="Times New Roman;Times;Serif"/>
          <w:b w:val="false"/>
          <w:i w:val="false"/>
          <w:caps w:val="false"/>
          <w:smallCaps w:val="false"/>
          <w:sz w:val="20"/>
        </w:rPr>
        <w:t>Subject to applicable laws, the Pre-Funded Warrants may be offered for sale, sold, transferred or assigned without our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Exchange Listing. </w:t>
      </w:r>
      <w:r>
        <w:rPr>
          <w:rFonts w:ascii="Times New Roman;Times;Serif" w:hAnsi="Times New Roman;Times;Serif"/>
          <w:b w:val="false"/>
          <w:i w:val="false"/>
          <w:caps w:val="false"/>
          <w:smallCaps w:val="false"/>
          <w:sz w:val="20"/>
        </w:rPr>
        <w:t>We do not intend to apply to list the Pre-Funded Warrants on any securities exchange or other nationally recognized trading system. Without an active trading market, the liquidity of the Pre-Funded Warrants will be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as a Shareholder. </w:t>
      </w:r>
      <w:r>
        <w:rPr>
          <w:rFonts w:ascii="Times New Roman;Times;Serif" w:hAnsi="Times New Roman;Times;Serif"/>
          <w:b w:val="false"/>
          <w:i w:val="false"/>
          <w:caps w:val="false"/>
          <w:smallCaps w:val="false"/>
          <w:sz w:val="20"/>
        </w:rPr>
        <w:t>Except as otherwise provided in the Pre-Funded Warrants or by virtue of such holder’s ownership of our Class A Ordinary Shares, the holder of a Pre-Funded Warrant does not have the rights or privileges of a holder of our Class A Ordinary Shares, including any voting rights, until the holder exercises the Pre-Funded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placement agency agreement, dated July 10, 2026, we have engaged the Univest Securities as the placement agent (the “Placement Agent” or “Univest”) in connection with this offering. The Placement Agent is not purchasing or selling any such securities, nor is it required to arrange for the purchase and sale of any specific number or dollar amount of such securities, other than to use their “reasonable best efforts,” to arrange for the sale of such securities by us. The terms of this offering are subject to market conditions and negotiations between us, the Placement Agent, and prospective investors. The placement agency agreement does not give rise to any commitment by the Placement Agent to purchase any of our securities, and the Placement Agent will have no authority to bind us by virtue of the placement agency agreement. Further, the Placement Agent does not guarantee that it will be able to raise new capital in any prospective offering. We will enter into a securities purchase agreement directly with certain investors, at the investor’s option, who purchase our securities in this offering. Investors who do not enter into a securities purchase agreement shall rely solely on this prospectus supplement and the documents incorporated by reference herein in connection with the purchase of our securities in this offering. In addition to rights and remedies available to all purchasers in this offering under federal securities and state law, the investors which enter into a securities purchase agreement will also be able to bring claims of breach of contract against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securities purchase agreement directly with certain investors, at the investor’s option, who purchase our securities in this offering. In addition to rights and remedies available to all purchasers in this offering under federal securities and state law, the investors which enter into a securities purchase agreement will also be able to bring claims of breach of contract against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deliver to the investors the Class A Ordinary Shares and Pre-Funded Warrants electronically, upon closing and receipt of investor funds for the purchase of the Class A Ordinary Shares and Pre-Funded Warrants offered pursuant to this prospectus supplement. We expect the delivery of the Class A Ordinary Shares and Pre-Funded Warrants being offered pursuant to this prospectus supplement against payment in U.S. dollars will be made on or about July 13,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Agency Agreement and the form of securities purchase agreement will be included as exhibits to a Report of Foreign Private Issuer on Form 6-K to be filed with the SEC in connection with this offering and incorporated by reference into the registration statement of which this prospectus supplement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total Placement Agent’s fees we will pay in connection with the sale of Class A Ordinary Shares and Pre-Funded Warrants in this offering:</w:t>
      </w:r>
    </w:p>
    <w:p>
      <w:pPr>
        <w:pStyle w:val="TextBody"/>
        <w:bidi w:val="0"/>
        <w:spacing w:before="0" w:after="0"/>
        <w:ind w:left="0" w:right="0" w:firstLine="720"/>
        <w:jc w:val="both"/>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3095"/>
        <w:gridCol w:w="60"/>
        <w:gridCol w:w="213"/>
        <w:gridCol w:w="1037"/>
        <w:gridCol w:w="60"/>
        <w:gridCol w:w="60"/>
        <w:gridCol w:w="60"/>
        <w:gridCol w:w="1280"/>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br/>
              <w:t xml:space="preserve">or </w:t>
              <w:br/>
              <w:t>Pre-Funded</w:t>
              <w:b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Offering Price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4,000,000.00</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Placement Agent’s Fees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1037" w:type="dxa"/>
            <w:tcBorders/>
            <w:shd w:fill="FFFFFF" w:val="clear"/>
            <w:vAlign w:val="center"/>
          </w:tcPr>
          <w:p>
            <w:pPr>
              <w:pStyle w:val="TableContents"/>
              <w:bidi w:val="0"/>
              <w:spacing w:before="0" w:after="283"/>
              <w:jc w:val="right"/>
              <w:rPr/>
            </w:pPr>
            <w:r>
              <w:rPr/>
              <w:t>0.0280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280,000.00</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0.3720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3,720,000.00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will pay the placement agent a fee equal to the sum of 7.0% of the aggregate purchase price paid by the investors placed by the placement agent. We have also agreed to pay to the placement agent a non-accountable expense reimbursement equal to 0.5% of the gross proceeds from this offering, and to the placement agent up to $60,000 for the reasonable and accounted fees and expenses.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offering is consummated, we have agreed to grant the Placement Agent a right of first refusal (the “Right of First Refusal”) for a period of six (6) months from the closing of this offering, to act as sole managing underwriter and sole book runner, sole placement agent, or sole sales agent, for any and all future public equity, equity-linked or debt (excluding commercial bank debt) offerings for which we retain the service of an underwriter, agent, advisor, finder or other person or entity in connection with such offering of the Company, or any successor to or any subsidiary of the Company (the “Subsequent Offering”), excluding any private placement transactions between the Company and non-U.S. persons in compliance with Regulation S promulgated under the Securities Act, provided that no placement agent, underwriter or other investment bank is engaged in connection with such transactions. We have agreed not to offer to retain any entity or person in connection with any such offering on terms more favorable than terms on which we offer to retain the Placement Agent. Such offer shall be made in writing in order to be effective. The Right of First Refusal granted hereunder may be terminated by the Company for “Cause,” which shall mean a material breach by the Placement Agent of this Agreement or a material failure by the Placement Agent to provide the services as contemplated by this Agreement. The services provided by the Placement Agent hereunder are solely for the benefit of the Company and are not intended to confer any rights upon any persons or entities not a party hereto (including, without limitation, securityholders, employees or creditors of the Company) as against Univest or its directors, officers, agents and employees.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until three (3) months after the closing of this offering, we complete any public or private offering of equity, equity-linked, warrant, preferred, convertible or debt securities or other capital raising activity with, or receive any proceeds from, any investors who were contacted by Univest or directly introduced by Univest in connection with this offering, we will pay to Univest a fee equal to the sum of 7.0% of the aggregate purchase price in such transaction upon the closing of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Placement Agent against certain liabilities, including liabilities under the Securities Act and liabilities arising from breaches of representations and warranties contained in the Placement Agency Agreement, or to contribute to payments that the Placement Agent may be required to make in respect of those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the applicable prospectus supplement, certain legal matters in connection with the securities offered pursuant to this prospectus supplement will be passed upon for us by Hunter Taubman Fischer &amp; Li LLC to the extent governed by the laws of the State of New York, and by Ogier to the extent governed by the laws of the Cayman Islands and by Sino Pro Law Firm to the extent governed by the laws of P.R.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June 30, 2025 and 2024, and for the years ended June 30, 2025, 2024, and 2023 incorporated by reference into this prospectus and in the registration statement have been so incorporated in reliance on the report of Wei, Wei &amp; Co., LLP, an independent registered public accounting firm, which contains an explanatory paragraph describing conditions that raise substantial doubt about the Company’s ability to continue as a going concern, incorporated herein by reference, given on the authority of said firm as experts in auditing and accounting.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on Form F-3 filed by us with the SEC under the Securities Act. As permitted by the rules and regulations of the SEC, this prospectus supplement and the accompanying prospectus do not contain all the information set forth in the registration statement and the exhibits thereto filed with the SEC. For further information with respect to us and the Class A Ordinary Shares offered hereby, you should refer to the complete registration statement on Form F-3, which may be obtained from the locations described above in the immediately preceding paragraph. Statements contained in this prospectus supplement, the accompanying prospectus supplement or any document incorporated by reference herein or therein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document or matter involved. Each statement regarding a contract or other document is qualified in its entirety by reference to the actual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also maintains an Internet website that contains reports and other information regarding issuers that file electronically with the SEC. Our filings with the SEC are also available to the public through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that are applicable to foreign private issuers, and under those requirements are filing reports with the SEC. Those other reports or other information may be inspected without charge at the locations described above.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U.S. companies whose securities are registered under the Exchange Act. However, we are required to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interim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https://ir.haoximedia.com/. Information contained on, or that can be accessed through, our website does not constitute a part of this prospectus. We have included our website address in this prospectus solely as an inactive textual reference. We will post on our website any materials required to be so posted on such website under applicable corporate or securities laws and regulations, including, posting any XBRL interactive financial data required to be filed with the SEC and any notices of general meetings of our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The information incorporated by reference is considered to be part of this prospectus and information we file later with the SEC will automatically update and supersede this information. The following documents filed with or furnished to the SEC by us are incorporated by reference in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3">
              <w:r>
                <w:rPr>
                  <w:rStyle w:val="InternetLink"/>
                  <w:rFonts w:ascii="Times New Roman;Times;Serif" w:hAnsi="Times New Roman;Times;Serif"/>
                  <w:sz w:val="20"/>
                </w:rPr>
                <w:t>Form 20-F</w:t>
              </w:r>
            </w:hyperlink>
            <w:r>
              <w:rPr>
                <w:sz w:val="20"/>
              </w:rPr>
              <w:t xml:space="preserve"> </w:t>
            </w:r>
            <w:r>
              <w:rPr>
                <w:rFonts w:ascii="Times New Roman;Times;Serif" w:hAnsi="Times New Roman;Times;Serif"/>
                <w:sz w:val="20"/>
              </w:rPr>
              <w:t>for the fiscal year ended June 30, 2025, filed with the SEC on October 20,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Reports on Form 6-K furnished on </w:t>
            </w:r>
            <w:hyperlink r:id="rId4">
              <w:r>
                <w:rPr>
                  <w:rStyle w:val="InternetLink"/>
                  <w:rFonts w:ascii="Times New Roman;Times;Serif" w:hAnsi="Times New Roman;Times;Serif"/>
                  <w:sz w:val="20"/>
                </w:rPr>
                <w:t>October 24, 2025</w:t>
              </w:r>
            </w:hyperlink>
            <w:r>
              <w:rPr>
                <w:rFonts w:ascii="Times New Roman;Times;Serif" w:hAnsi="Times New Roman;Times;Serif"/>
                <w:sz w:val="20"/>
              </w:rPr>
              <w:t xml:space="preserve">, </w:t>
            </w:r>
            <w:hyperlink r:id="rId5">
              <w:r>
                <w:rPr>
                  <w:rStyle w:val="InternetLink"/>
                  <w:rFonts w:ascii="Times New Roman;Times;Serif" w:hAnsi="Times New Roman;Times;Serif"/>
                  <w:sz w:val="20"/>
                </w:rPr>
                <w:t>November 12, 2025</w:t>
              </w:r>
            </w:hyperlink>
            <w:r>
              <w:rPr>
                <w:rFonts w:ascii="Times New Roman;Times;Serif" w:hAnsi="Times New Roman;Times;Serif"/>
                <w:sz w:val="20"/>
              </w:rPr>
              <w:t xml:space="preserve">, </w:t>
            </w:r>
            <w:hyperlink r:id="rId6">
              <w:r>
                <w:rPr>
                  <w:rStyle w:val="InternetLink"/>
                  <w:rFonts w:ascii="Times New Roman;Times;Serif" w:hAnsi="Times New Roman;Times;Serif"/>
                  <w:sz w:val="20"/>
                </w:rPr>
                <w:t>December 3, 2025</w:t>
              </w:r>
            </w:hyperlink>
            <w:r>
              <w:rPr>
                <w:rFonts w:ascii="Times New Roman;Times;Serif" w:hAnsi="Times New Roman;Times;Serif"/>
                <w:sz w:val="20"/>
              </w:rPr>
              <w:t xml:space="preserve">; and </w:t>
            </w:r>
            <w:hyperlink r:id="rId7">
              <w:r>
                <w:rPr>
                  <w:rStyle w:val="InternetLink"/>
                  <w:rFonts w:ascii="Times New Roman;Times;Serif" w:hAnsi="Times New Roman;Times;Serif"/>
                  <w:sz w:val="20"/>
                </w:rPr>
                <w:t>December 10, 2025</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January 23, 2026</w:t>
              </w:r>
            </w:hyperlink>
            <w:r>
              <w:rPr>
                <w:rFonts w:ascii="Times New Roman;Times;Serif" w:hAnsi="Times New Roman;Times;Serif"/>
                <w:sz w:val="20"/>
              </w:rPr>
              <w:t>,</w:t>
            </w:r>
            <w:hyperlink r:id="rId9">
              <w:r>
                <w:rPr>
                  <w:rStyle w:val="InternetLink"/>
                </w:rPr>
                <w:t xml:space="preserve"> </w:t>
              </w:r>
            </w:hyperlink>
            <w:hyperlink r:id="rId10">
              <w:r>
                <w:rPr>
                  <w:rStyle w:val="InternetLink"/>
                  <w:rFonts w:ascii="Times New Roman;Times;Serif" w:hAnsi="Times New Roman;Times;Serif"/>
                  <w:sz w:val="20"/>
                </w:rPr>
                <w:t>February 10, 2026</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March 6, 2026</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April 6, 2026</w:t>
              </w:r>
            </w:hyperlink>
            <w:r>
              <w:rPr>
                <w:rFonts w:ascii="Times New Roman;Times;Serif" w:hAnsi="Times New Roman;Times;Serif"/>
                <w:sz w:val="20"/>
              </w:rPr>
              <w:t xml:space="preserve">, </w:t>
            </w:r>
            <w:hyperlink r:id="rId13">
              <w:r>
                <w:rPr>
                  <w:rStyle w:val="InternetLink"/>
                  <w:rFonts w:ascii="Times New Roman;Times;Serif" w:hAnsi="Times New Roman;Times;Serif"/>
                  <w:sz w:val="20"/>
                </w:rPr>
                <w:t>April 22, 2026</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May 13, 2026</w:t>
              </w:r>
            </w:hyperlink>
            <w:r>
              <w:rPr>
                <w:rFonts w:ascii="Times New Roman;Times;Serif" w:hAnsi="Times New Roman;Times;Serif"/>
                <w:sz w:val="20"/>
              </w:rPr>
              <w:t xml:space="preserve">, </w:t>
            </w:r>
            <w:hyperlink r:id="rId15">
              <w:r>
                <w:rPr>
                  <w:rStyle w:val="InternetLink"/>
                  <w:rFonts w:ascii="Times New Roman;Times;Serif" w:hAnsi="Times New Roman;Times;Serif"/>
                  <w:sz w:val="20"/>
                </w:rPr>
                <w:t>May 19, 2026</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May 21, 2026</w:t>
              </w:r>
            </w:hyperlink>
            <w:r>
              <w:rPr>
                <w:rFonts w:ascii="Times New Roman;Times;Serif" w:hAnsi="Times New Roman;Times;Serif"/>
                <w:sz w:val="20"/>
              </w:rPr>
              <w:t xml:space="preserve">, </w:t>
            </w:r>
            <w:hyperlink r:id="rId17">
              <w:r>
                <w:rPr>
                  <w:rStyle w:val="InternetLink"/>
                  <w:rFonts w:ascii="Times New Roman;Times;Serif" w:hAnsi="Times New Roman;Times;Serif"/>
                  <w:sz w:val="20"/>
                </w:rPr>
                <w:t>June 4, 2026</w:t>
              </w:r>
            </w:hyperlink>
            <w:r>
              <w:rPr>
                <w:rFonts w:ascii="Times New Roman;Times;Serif" w:hAnsi="Times New Roman;Times;Serif"/>
                <w:sz w:val="20"/>
              </w:rPr>
              <w:t xml:space="preserve">, </w:t>
            </w:r>
            <w:hyperlink r:id="rId18">
              <w:r>
                <w:rPr>
                  <w:rStyle w:val="InternetLink"/>
                  <w:rFonts w:ascii="Times New Roman;Times;Serif" w:hAnsi="Times New Roman;Times;Serif"/>
                  <w:sz w:val="20"/>
                </w:rPr>
                <w:t>June 24, 2026</w:t>
              </w:r>
            </w:hyperlink>
            <w:r>
              <w:rPr>
                <w:rFonts w:ascii="Times New Roman;Times;Serif" w:hAnsi="Times New Roman;Times;Serif"/>
                <w:sz w:val="20"/>
              </w:rPr>
              <w:t xml:space="preserve">, </w:t>
            </w:r>
            <w:hyperlink r:id="rId19">
              <w:r>
                <w:rPr>
                  <w:rStyle w:val="InternetLink"/>
                  <w:rFonts w:ascii="Times New Roman;Times;Serif" w:hAnsi="Times New Roman;Times;Serif"/>
                  <w:sz w:val="20"/>
                </w:rPr>
                <w:t>July 6, 2026</w:t>
              </w:r>
            </w:hyperlink>
            <w:r>
              <w:rPr>
                <w:rFonts w:ascii="Times New Roman;Times;Serif" w:hAnsi="Times New Roman;Times;Serif"/>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Class A Ordinary Shares incorporated by reference in our registration statement on </w:t>
            </w:r>
            <w:hyperlink r:id="rId20">
              <w:r>
                <w:rPr>
                  <w:rStyle w:val="InternetLink"/>
                  <w:rFonts w:ascii="Times New Roman;Times;Serif" w:hAnsi="Times New Roman;Times;Serif"/>
                  <w:sz w:val="20"/>
                </w:rPr>
                <w:t>Form 8-A</w:t>
              </w:r>
            </w:hyperlink>
            <w:r>
              <w:rPr/>
              <w:t xml:space="preserve"> </w:t>
            </w:r>
            <w:r>
              <w:rPr>
                <w:rFonts w:ascii="Times New Roman;Times;Serif" w:hAnsi="Times New Roman;Times;Serif"/>
                <w:sz w:val="20"/>
              </w:rPr>
              <w:t>(File No. 001-41933) originally filed with the Commission on January 24, 2024, including any amendment and report subsequently filed for the purpose of updating that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filed by us pursuant to the Exchange Act on Form 20-F prior to the termination of this offering shall be deemed to be incorporated by reference to this prospectus supplement and the accompanying prospectus and to be a part hereof and thereof from the date of filing of such documents. We may also incorporate any Form 6-K subsequently submitted by us to the SEC prior to the termination of this offering by identifying in such Forms 6-K that they are being incorporated by reference herein and in the accompanying prospectus, and any Forms 6-K so identified shall be deemed to be incorporated by reference in this prospectus supplement and the accompanying prospectus and to be a part hereof from the date of submission of such documents. Any statement contained in a document incorporated or deemed to be incorporated by reference herein and in the accompanying prospectus shall be deemed to be modified or superseded for purposes of this prospectus supplement and the accompanying prospectus to the extent that a statement contained herein or in any other subsequently filed document which also is incorporated or deemed to be incorporated by reference herein and in the accompanying prospectus modifies or supersedes such statement. Any such statement so modified or superseded shall not be deemed, except as so modified or superseded, to constitute a part of this prospectus supplement or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we incorporate by reference is an important part of this prospectus supplement and the accompanying prospectus, and later information that we file with the SEC that is incorporated by reference will automatically update and supersede the information contained in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you without charge, upon your written or oral request, a copy of any of the documents incorporated by reference in this prospectus, other than exhibits to such documents which are not specifically incorporated by reference into such documents. Please direct your written or telephone requests to us at Room 801, Tower C, Floor 8, Building 103, Huizhongli, Chaoyang District, Beijing, China, Attn: Zhen Fan, Tel: +86-10-13311587976.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Rights and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offer and sell up to $80,000,000 in the aggregate of Class A ordinary shares, par value $0.0025 per share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debt securities, warrants, units and rights to purchase Class A Ordinary Shares, or debt securities, rights or any combination of the foregoing, either individually or as units comprised of one or more of the other securities. The prospectus supplement for each offering of securities will describe in detail the plan of distribution for that offering. For general information about the distribution of securities offered, please see “Plan of Distribution”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provides a general description of the securities we may offer.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read carefully this prospectus, the applicable prospectus supplement and any related free writing prospectus, as well as the documents incorporated or deemed to be incorporated by reference, before you invest in any of our securities. </w:t>
      </w:r>
      <w:r>
        <w:rPr>
          <w:rFonts w:ascii="Times New Roman;Times;Serif" w:hAnsi="Times New Roman;Times;Serif"/>
          <w:b/>
          <w:i w:val="false"/>
          <w:caps w:val="false"/>
          <w:smallCaps w:val="false"/>
          <w:sz w:val="20"/>
        </w:rPr>
        <w:t>This prospectus may not be used to offer or sell any securities unless accompanied by the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“HAO.” On June 9, 2025, the last reported sale price of our Class A Ordinary Shares on the Nasdaq Capital Market was $1.37 per share. The applicable prospectus supplement will contain information, where applicable, as to other listings, if any, on the Nasdaq Capital Market or other securities exchange of the securities covered by the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more than one-third of the aggregate market value of our voting and non-voting common equity in any 12-month period so long as the aggregate market value of our issued and outstanding voting and non-voting common equity held by non-affiliates remains below US$75,000,000. The aggregate market value of our issued and outstanding Class A Ordinary Shares and Class B ordinary shares, par value $0.0025 each (the “</w:t>
      </w: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held by non-affiliates, or public float, as of May 12, 2025, was approximately US$2 million, which was calculated based on 1,255,595 Class A Ordinary Shares and zero Class B Ordinary Shares held by non-affiliates. During the 12 calendar months prior to and including the date of this prospectus, we have not offered or sold any securities pursuant to General Instruction I.B.5 of Form F-3.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“Risk Factors” on page 6 of this prospectus and in the documents incorporated by reference in this prospectus, as updated in the applicable prospectus supplement, any related free writing prospectus and other future filings we make with the Securities and Exchange Commission that are incorporated by reference into this prospectus, for a discussion of the factors you should consider carefully before deciding to purchase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with no material operations of our own and we are not a Chinese operating company. Our operations are conducted in China through our wholly owned indirect PRC subsidiary, Beijing Haoxi Digital Technology Co., Ltd. (“</w:t>
      </w:r>
      <w:r>
        <w:rPr>
          <w:rFonts w:ascii="Times New Roman;Times;Serif" w:hAnsi="Times New Roman;Times;Serif"/>
          <w:b/>
          <w:i w:val="false"/>
          <w:caps w:val="false"/>
          <w:smallCaps w:val="false"/>
          <w:sz w:val="20"/>
        </w:rPr>
        <w:t>Haoxi Beijing</w:t>
      </w:r>
      <w:r>
        <w:rPr>
          <w:rFonts w:ascii="Times New Roman;Times;Serif" w:hAnsi="Times New Roman;Times;Serif"/>
          <w:b w:val="false"/>
          <w:i w:val="false"/>
          <w:caps w:val="false"/>
          <w:smallCaps w:val="false"/>
          <w:sz w:val="20"/>
        </w:rPr>
        <w:t>”). The securities being offered hereunder are those of the offshore holding company in the Cayman Islands, instead of securities of the operating entity in China. Therefore, you will not directly hold any equity interests in the operating entity. We are subject to certain legal and operational risks associated with business operations of Haoxi Beijing in China and the Chinese regulatory authorities could disallow our corporate structure, which could cause the value of our securities to significantly decline or become worthless. For more details, see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xml:space="preserve"> Risk Factors—Risks Related to Doing Business in China—Substantial uncertainties exist with respect to the interpretation and implementation of the PRC Foreign Investment Law and its Implementation Rules and how they may impact the viability of our current corporate structure, corporate governance and business operations;” “—The CSRC has promulgated Overseas Listing Trial Measures on February 17, 2023. The offering pursuant to any accompanying prospectus supplement will be determined to be an indirect overseas offering and is, therefore, subject to the CSRC filing procedures, which could significantly limit or completely hinder our ability to offer or continue to offer our Class A Ordinary Shares to investors and could cause the value of our Class A Ordinary Shares to significantly decline or become worthless;” and “—Any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in our annual report on the Form 20-F for the year ended June 30, 2024 (“</w:t>
      </w:r>
      <w:r>
        <w:rPr>
          <w:rFonts w:ascii="Times New Roman;Times;Serif" w:hAnsi="Times New Roman;Times;Serif"/>
          <w:b/>
          <w:i w:val="false"/>
          <w:caps w:val="false"/>
          <w:smallCaps w:val="false"/>
          <w:sz w:val="20"/>
        </w:rPr>
        <w:t>2024 Annual Report</w:t>
      </w:r>
      <w:r>
        <w:rPr>
          <w:rFonts w:ascii="Times New Roman;Times;Serif" w:hAnsi="Times New Roman;Times;Serif"/>
          <w:b w:val="false"/>
          <w:i w:val="false"/>
          <w:caps w:val="false"/>
          <w:smallCaps w:val="false"/>
          <w:sz w:val="20"/>
        </w:rPr>
        <w:t>”),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October 29, 2024, incorporated herein by reference and “Risk Factors—The PRC government exerts substantial influence over the manner in which we conduct our business activities. The PRC government may also intervene or influence our operations and the offering pursuant to any accompanying prospectus supplement at any time, which could result in a material change in our operations and our Class A Ordinary Shares could decline in value or become worthless” on page 6 of this prospectus. Applicable PRC laws and regulations governing such current business operations are sometimes vague and uncertain, and as a result, these risks may result in material changes in the operations of Haoxi Beijing, significant depreciation or a complete loss of the value of our Class A Ordinary Shares, or a complete hindrance of our ability to offer, or continue to offer, our securities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2019, the PRC National People’s Congress approved the PRC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On December 26, 2019, the PRC State Council approved the Implementation Rules of Foreign Investment Law, which came into effect on January 1, 2020. Since the PRC Foreign Investment Law is relatively new, substantial uncertainties exist with respect to its interpretation and implementation. Under the PRC Foreign Investment Law, “foreign investment” refers to the investment activities directly or indirectly conducted by foreign individuals, enterprises or other entities in China. The PRC Foreign Investment Law sets out the basic regulatory framework for foreign investments and proposes to implement a management system of pre-establishment national treatment with a “negative list” for foreign investments, pursuant to which (i) a foreign invested enterprise, or FIE, under PRC law shall not invest in any sector forbidden by the negative list for access of foreign investment, (ii) for any sector restricted by the negative list, an FIE shall conform to the investment conditions provided in the negative list, and (iii) sectors not included in the negative list shall be managed under the principle that domestic investment and foreign investment shall be treated equally. The PRC Foreign Investment Law also sets forth necessary mechanisms to facilitate, protect and manage foreign investments and proposes to establish a foreign investment information report system in which FIE shall submit the investment information to competent departments of commerce through the enterprise registration system and the enterprise credit information publicity system. Haoxi Beijing is an online marketing solution provider in China with an advertiser client base mainly in the healthcare industry, which is not a prohibited or restricted industry in the negative list that is currently effective as of the date of this prospectus. It is uncertain whether the online marketing industry, in which Haoxi Beijing operates, will be subject to the foreign investment restrictions or prohibitions set forth in any “negative list” to be issued in the future. There are uncertainties as to how the PRC Foreign Investment Law would be further interpreted and implemented. We cannot assure you that the interpretation and implementation of the PRC Foreign Investment Law made by the relevant governmental authorities in the future will not materially impact our corporate governance and business operations in any aspect. See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xml:space="preserve"> Risk Factors—Risks Related to Doing Business in China—Substantial uncertainties exist with respect to the interpretation and implementation of the PRC Foreign Investment Law and its Implementation Rules and how they may impact the viability of our current corporate structure, corporate governance and business operations” in our 2024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On December 28, 2021, 13 governmental departments of the PRC, including the Cyberspace Administration of China (the “</w:t>
      </w:r>
      <w:r>
        <w:rPr>
          <w:rFonts w:ascii="Times New Roman;Times;Serif" w:hAnsi="Times New Roman;Times;Serif"/>
          <w:b/>
          <w:i w:val="false"/>
          <w:caps w:val="false"/>
          <w:smallCaps w:val="false"/>
          <w:sz w:val="20"/>
        </w:rPr>
        <w:t>CAC</w:t>
      </w:r>
      <w:r>
        <w:rPr>
          <w:rFonts w:ascii="Times New Roman;Times;Serif" w:hAnsi="Times New Roman;Times;Serif"/>
          <w:b w:val="false"/>
          <w:i w:val="false"/>
          <w:caps w:val="false"/>
          <w:smallCaps w:val="false"/>
          <w:sz w:val="20"/>
        </w:rPr>
        <w:t>”), issued the Cybersecurity Review Measures, which became effective on February 15, 2022. As of the date of this prospectus, neither we nor our subsidiaries have been involved in any investigations on cybersecurity review initiated by any PRC regulatory authority, nor has any of them received any inquiry, notice, or sanction related to cybersecurity review under the Cybersecurity Review Measures. The CAC published the draft Regulations on the Network Data Security Administration (Draft for Comments) (the “</w:t>
      </w:r>
      <w:r>
        <w:rPr>
          <w:rFonts w:ascii="Times New Roman;Times;Serif" w:hAnsi="Times New Roman;Times;Serif"/>
          <w:b/>
          <w:i w:val="false"/>
          <w:caps w:val="false"/>
          <w:smallCaps w:val="false"/>
          <w:sz w:val="20"/>
        </w:rPr>
        <w:t>Security Administration</w:t>
      </w:r>
      <w:r>
        <w:rPr>
          <w:rFonts w:ascii="Times New Roman;Times;Serif" w:hAnsi="Times New Roman;Times;Serif"/>
          <w:b w:val="false"/>
          <w:i w:val="false"/>
          <w:caps w:val="false"/>
          <w:smallCaps w:val="false"/>
          <w:sz w:val="20"/>
        </w:rPr>
        <w:t>”), was published by the State Council on September 24, 2024 and became effective on January 1, 2025. The Security Administration provides that data processing operators engaging in data processing activities that affect or may affect national security must be subject to network data security review by the relevant Cyberspace Administration of the PRC. According to the Security Administration, data processing operators who possess personal data of at least one million users or collect data that affects or may affect national security must be subject to network data security review by the relevant Cyberspace Administration of the PRC. As confirmed by our PRC counsel, Sino Pro Law Firm, we are not subject to cybersecurity review by the CAC under the Cybersecurity Review Measures, nor are we subject to network data security review if the Security Administration are enacted as proposed, since Haoxi Beijing’s business does not involve processing users’ personal information and it is not deemed as a critical information infrastructure operator (“</w:t>
      </w:r>
      <w:r>
        <w:rPr>
          <w:rFonts w:ascii="Times New Roman;Times;Serif" w:hAnsi="Times New Roman;Times;Serif"/>
          <w:b/>
          <w:i w:val="false"/>
          <w:caps w:val="false"/>
          <w:smallCaps w:val="false"/>
          <w:sz w:val="20"/>
        </w:rPr>
        <w:t>CIIO</w:t>
      </w:r>
      <w:r>
        <w:rPr>
          <w:rFonts w:ascii="Times New Roman;Times;Serif" w:hAnsi="Times New Roman;Times;Serif"/>
          <w:b w:val="false"/>
          <w:i w:val="false"/>
          <w:caps w:val="false"/>
          <w:smallCaps w:val="false"/>
          <w:sz w:val="20"/>
        </w:rPr>
        <w:t>”), nor is it an online platform operator with personal information of more than one million users. See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xml:space="preserve"> Risk Factors—Risks Related to Doing Business in China—Any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in our 2024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China Securities Regulatory Commission (the “</w:t>
      </w:r>
      <w:r>
        <w:rPr>
          <w:rFonts w:ascii="Times New Roman;Times;Serif" w:hAnsi="Times New Roman;Times;Serif"/>
          <w:b/>
          <w:i w:val="false"/>
          <w:caps w:val="false"/>
          <w:smallCaps w:val="false"/>
          <w:sz w:val="20"/>
        </w:rPr>
        <w:t>CSRC</w:t>
      </w:r>
      <w:r>
        <w:rPr>
          <w:rFonts w:ascii="Times New Roman;Times;Serif" w:hAnsi="Times New Roman;Times;Serif"/>
          <w:b w:val="false"/>
          <w:i w:val="false"/>
          <w:caps w:val="false"/>
          <w:smallCaps w:val="false"/>
          <w:sz w:val="20"/>
        </w:rPr>
        <w:t>”), released the Trial Administrative Measures of the Overseas Securities Offering and Listing by Domestic Companies and five ancillary interpretive guidelines, or collectively, the Overseas Listing Trial Measures, which came into effect on March 31, 2023. According to the Overseas Listing Trial Measures, Chinese domestic companies that seek to offer and list securities in overseas markets, either in direct or indirect means, are required to fulfill the filing procedures with the CSRC and report relevant information. On the same day, the CSRC also held a press conference for the release of the Overseas Listing Trial Measures and issued the Notice on Administration for the Filing of Overseas Offering and Listing by Domestic Companies, which clarifies that on or prior to the effective date of the Overseas Listing Trial Measures, domestic companies that have already submitted valid applications for overseas offering and listing but have not obtained clearance from overseas regulatory authorities or stock exchanges may reasonably arrange the timing for submitting their filing applications with the CSRC, and must complete the filing before the completion of their overseas offering and listing. The required filing scope is not limited to the initial public offering, but also includes any subsequent overseas securities offering, single or multiple acquisition(s), share swap, transfer of shares or other means to seek an overseas direct or indirect listing and a secondary listing or dual major listing of issuers already listed overseas. As advised by our PRC counsel, Sino Pro Law Firm, since the operating entity accounted for more than 50% of our consolidated revenues, profit, total assets or net assets for the fiscal years ended June 30, 2023 and 2022, and the key components of our operations are carried out in China, an offering pursuant to any accompanying prospectus supplement is considered an indirect offering by China-based companies, and we are, therefore, subject to the Overseas Listing Trial Measures for filing procedures with the CSRC in connection with the offering pursuant to any accompanying prospectus supplement and are required to file with the CSRC within three working days after the completion of an offering pursuant to any accompanying prospectus supplement. We will submit our filing application to the CSRC within three working days after the completion of the offering pursuant to any accompanying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24, 2023, the CSRC and other relevant government authorities promulgated the Provisions on Strengthening the Confidentiality and Archives Administration of Overseas Securities Issuance and Listing by Domestic Enterprises which were issued in 2009, or the Provision on Confidentiality. The Provision on Confidentiality became effective on March 31, 2023. Pursuant to the Provision on Confidentiality, where a domestic enterprise provides or publicly discloses documents and materials involving state secrets and working secrets of state organs to the relevant securities companies, securities service institutions, overseas regulatory authorities and other entities and individuals, or provides or publicly discloses such information through its overseas listing subjects, it shall report to the competent department with the examination and approval authority for approval in accordance with the law, and submit to the secrecy administration department of the same level for filing. Domestic enterprises providing accounting archives or copies thereof to entities and individuals concerned such as securities companies, securities service institutions and overseas regulatory authorities shall complete the corresponding procedures pursuant to the relevant provisions of the State. We believe that the offering pursuant to any accompanying prospectus supplement will not involve the leaking of any state secret or working secret of government agencies, or the harming of national security and public interests. However, we may be required to perform additional procedures in connection with the provision of accounting archives.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these statements and regulatory actions by the PRC government are newly published and there exists uncertainty with respect to their requirements and implementation, it is highly uncertain what the potential impact such modified or new laws and regulations will have on our or Haoxi Beijing’s daily business operation, the ability to accept foreign investments and listing on U.S. exchanges. We cannot assure you that we will be able to fully comply with such rules, to conduct the offering pursuant to any accompanying prospectus supplement, or to maintain the listing status of our securities, or to conduct any overseas securities offerings in the future. For details of the associated risks, see “Risk Factors—Risks Related to Doing Business in China—The CSRC has promulgated Overseas Listing Trial Measures on February 17, 2023. The offering pursuant to any accompanying prospectus supplement will be determined to be an indirect overseas offering and is, therefore, subject to the CSRC filing procedures, which could significantly limit or completely hinder our ability to offer or continue to offer our Class A Ordinary Shares to investors and could cause the value of our Class A Ordinary Shares to significantly decline or become worthless” on page 7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filing procedures with the CSRC and reporting of relevant information according to the Overseas Listing Trial Measures, as of the date of this prospectus, we are not required to obtain any other permission from any other PRC governmental authorities to offer securities to foreign investors. As of the date of this prospectus, neither we nor our subsidiaries have received any inquiry, notice, warning, or sanction regarding our overseas listing from the CSRC or any other PRC governmental authorities. Since these statements and regulatory actions are newly published, however, official guidance and related implementation rules have not been issued. It is highly uncertain what the potential impact such modified or new laws and regulations will have on the daily business operations of our subsidiaries, our ability to accept foreign investments, and our listing on a U.S. exchange in the future. We cannot guarantee that new rules or regulations promulgated in the future will not impose any additional requirement on us, or the operating entity, or otherwise tightening the regulations on overseas listing of PRC domestic companies. If it is determined that the offering pursuant to any accompanying prospectus supplement is subject to any other governmental authorization or requirements, we cannot assure you we or the operating entity could obtain such approval or meet such requirements in a timely manner or at all. Such failure may subject us or the operating entity to fines, penalties or other sanctions which may have a material adverse effect on our business and financial conditions as well as its ability to complete the offering pursuant to any accompanying prospectus supplement. Although we endeavor to comply with all the applicable laws and regulations, if (i) the operating entity does not receive or maintain applicable permissions or approvals for our operation, and to offer the securities being registered to investors, or (ii) we inadvertently conclude that such permissions or approvals are not required, or applicable laws, regulations, or interpretations change and the operating entity is required to obtain permissions or approvals in the future, the operating entity’s business operation may be materially affected. There can be no assurance that we or the operating entity can obtain all requisite approvals without material disruption to the operating entity’s business. Therefore, any failure to obtain all requisite approvals may significantly limit or completely hinder our ability to offer or continue to offer securities to investors and could cause the value of such securities to significantly decline or be worthless. See “Risk Factors—Risks Related to Doing Business in China—The CSRC has promulgated Overseas Listing Trial Measures on February 17, 2023. The offering pursuant to any accompanying prospectus supplement will be determined to be an indirect overseas offering and is, therefore, subject to CSRC the filing procedures, which could significantly limit or completely hinder our ability to offer or continue to offer our Class A Ordinary Shares to investors and could cause the value of our Class A Ordinary Shares to significantly decline or become worthless” on page 7 of this prospectus, and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xml:space="preserve"> Risk Factors—Risks Related to Doing Business in China—Any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in our 2024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Class A Ordinary Shares may be prohibited from trading on a national exchange under the Holding Foreign Companies Accountable Act, or the HFCA Act, as amended by the Accelerating Holding Foreign Companies Accountable Act, if the Public Company Accounting Oversight Board (United States) (the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is unable to inspect our auditors for two consecutive years. On December 16, 2021, the PCAOB issued a report on its determinations that it was unable to inspect or investigate completely PCAOB-registered public accounting firms headquartered in mainland China and in Hong Kong, a Special Administrative Region of the PRC, because of positions taken by PRC authorities in those jurisdictions. Our auditor, Wei, Wei &amp; Co., LLP, is not headquartered in mainland China or Hong Kong and was not identified in this report as a firm subject to the PCAOB’s determination. Our auditor, Wei, Wei &amp; Co., LLP,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auditor’s registration with the PCAOB took effect in March 2006, and it is currently subject to PCAOB inspections, having its last inspection completed as of December 31, 2022. The PCAOB currently has access to inspect the working papers of our auditor.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On August 26, 2022, the CSRC, the Ministry of Finance of the PRC (the “</w:t>
      </w:r>
      <w:r>
        <w:rPr>
          <w:rFonts w:ascii="Times New Roman;Times;Serif" w:hAnsi="Times New Roman;Times;Serif"/>
          <w:b/>
          <w:i w:val="false"/>
          <w:caps w:val="false"/>
          <w:smallCaps w:val="false"/>
          <w:sz w:val="20"/>
        </w:rPr>
        <w:t>MOF</w:t>
      </w:r>
      <w:r>
        <w:rPr>
          <w:rFonts w:ascii="Times New Roman;Times;Serif" w:hAnsi="Times New Roman;Times;Serif"/>
          <w:b w:val="false"/>
          <w:i w:val="false"/>
          <w:caps w:val="false"/>
          <w:smallCaps w:val="false"/>
          <w:sz w:val="20"/>
        </w:rPr>
        <w:t>”), and the PCAOB signed a Statement of Protocol (the “</w:t>
      </w:r>
      <w:r>
        <w:rPr>
          <w:rFonts w:ascii="Times New Roman;Times;Serif" w:hAnsi="Times New Roman;Times;Serif"/>
          <w:b/>
          <w:i w:val="false"/>
          <w:caps w:val="false"/>
          <w:smallCaps w:val="false"/>
          <w:sz w:val="20"/>
        </w:rPr>
        <w:t>Protocol</w:t>
      </w:r>
      <w:r>
        <w:rPr>
          <w:rFonts w:ascii="Times New Roman;Times;Serif" w:hAnsi="Times New Roman;Times;Serif"/>
          <w:b w:val="false"/>
          <w:i w:val="false"/>
          <w:caps w:val="false"/>
          <w:smallCaps w:val="false"/>
          <w:sz w:val="20"/>
        </w:rPr>
        <w:t>”), governing inspections and investigations of accounting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Board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Board will consider the need to issue a new determination. On December 29, 2022, President Biden signed into law the Accelerating Holding Foreign Companies Accountable Act as a part of the legislation entitled “Consolidated Appropriations Act, 2023” (the “</w:t>
      </w:r>
      <w:r>
        <w:rPr>
          <w:rFonts w:ascii="Times New Roman;Times;Serif" w:hAnsi="Times New Roman;Times;Serif"/>
          <w:b/>
          <w:i w:val="false"/>
          <w:caps w:val="false"/>
          <w:smallCaps w:val="false"/>
          <w:sz w:val="20"/>
        </w:rPr>
        <w:t>Consolidated Appropriations Act</w:t>
      </w:r>
      <w:r>
        <w:rPr>
          <w:rFonts w:ascii="Times New Roman;Times;Serif" w:hAnsi="Times New Roman;Times;Serif"/>
          <w:b w:val="false"/>
          <w:i w:val="false"/>
          <w:caps w:val="false"/>
          <w:smallCaps w:val="false"/>
          <w:sz w:val="20"/>
        </w:rPr>
        <w:t>”), amending the HFCA Act and requiring the SEC to prohibit an issuer’s securities from trading on any U.S. stock exchange if its auditor is not subject to PCAOB inspections for two consecutive years instead of three consecutive years.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 Act, if needed.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xml:space="preserve"> Risk Factors—Risks Related to Doing Business in China—Recent joint statement by the SEC and the PCAOB, rule changes by Nasdaq, and the HFCA Act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 in our 2024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none of our subsidiaries have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If we determine to pay dividends on any of our Class A Ordinary Shares in the future, as a holding company, we will be dependent on receipt of funds from our PRC subsidiary, Haoxi Beijing. For more detailed discussion of how cash and other assets are transferred among our Company and our subsidiaries, see “Prospectus Summary—Dividend Distributions, Cash Transfer, and Tax Consequences,” our audited consolidated financial statements for the fiscal years ended June 30, 2022, 2023 and 2024 included in the 2024 Annual Report, and our unaudited condensed consolidated financial statements for the six months ended December 31, 2024 furnished in the Form 6K filed with the SEC on April 14, 2025. To the extent cash in the business is in the PRC, such funds may not be available to fund operations or for other use outside of the PRC, due to interventions of, or the imposition of restrictions and limitations on the ability of our Company and Haoxi Beijing by, the PRC government to transfer cash. See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xml:space="preserve"> Risk Factors—Risks Related to Doing Business in China—To the extent cash or assets of our business, or of Haoxi Beijing, is in the PRC, such cash or assets may not be available to fund operations or for other use outside of the PRC, due to interventions of, or the imposition of restrictions and limitations by, the PRC government to the transfer of cash or assets” in our 2024 Annual Report. PRC regulations currently permit Haoxi Beijing to pay dividends only out of its accumulated profits, if any, as determined in accordance with PRC accounting standards and regulations. In addition, if Haoxi Beijing distributes its after-tax profits for the current financial year, it is required to set aside, at a minimum, 10% of its net income, if any, to fund a statutory surplus reserve until the cumulative amount of such reserve reaches 50% of its registered capital, and such reserve may not be distributed as cash dividends. PRC laws and regulations allow us to provide funding to Haoxi Beijing only through loans or capital contributions, subject to the filing or approval of government authorities and limits on the amount of capital contributions and loans. As a result, in the event that Haoxi Beijing incurs debt on its own behalf in the future, the instruments governing the debt may restrict any such entity’s ability to pay dividends or make other distributions to us. See “</w:t>
      </w:r>
      <w:r>
        <w:rPr>
          <w:rFonts w:ascii="Times New Roman;Times;Serif" w:hAnsi="Times New Roman;Times;Serif"/>
          <w:b w:val="false"/>
          <w:i w:val="false"/>
          <w:caps w:val="false"/>
          <w:smallCaps w:val="false"/>
          <w:sz w:val="20"/>
          <w:shd w:fill="FFFFFF" w:val="clear"/>
        </w:rPr>
        <w:t>Item 3. Key Information—D. </w:t>
      </w:r>
      <w:r>
        <w:rPr>
          <w:rFonts w:ascii="Times New Roman;Times;Serif" w:hAnsi="Times New Roman;Times;Serif"/>
          <w:b w:val="false"/>
          <w:i w:val="false"/>
          <w:caps w:val="false"/>
          <w:smallCaps w:val="false"/>
          <w:sz w:val="20"/>
        </w:rPr>
        <w:t xml:space="preserve"> Risk Factors—Risks Related to Doing Business in China—PRC regulations of loans to, and direct investment in, PRC entities by offshore holding companies, and governmental control of currency conversion may limit our ability to use the proceeds of offshore offerings to make loans or additional capital contributions to Haoxi Beijing, which could materially and adversely affect our liquidity and our ability to fund and expand our business” in our 2024 Annual Report. Our finance department supervises cash management, following the instructions of our management. Our finance department is responsible for establishing our cash operation plan and coordinating cash management matters among our subsidiaries and departments. Each subsidiary and department initiate a cash request by putting forward a cash demand plan, which explains the specific amount and timing of cash requested, and submits it to our finance department. The finance department reviews the cash demand plan and prepares a summary for the management of our Company. Management examines and approves the allocation of cash based on the sources of cash and the priorities of the needs. Other than the above, we currently do not have other cash management policies or procedures that dictate how funds are transferred. In April 2024, the Company transferred $350,000 to Haoxi Information Limited (“</w:t>
      </w:r>
      <w:r>
        <w:rPr>
          <w:rFonts w:ascii="Times New Roman;Times;Serif" w:hAnsi="Times New Roman;Times;Serif"/>
          <w:b/>
          <w:i w:val="false"/>
          <w:caps w:val="false"/>
          <w:smallCaps w:val="false"/>
          <w:sz w:val="20"/>
        </w:rPr>
        <w:t>Haoxi HK</w:t>
      </w:r>
      <w:r>
        <w:rPr>
          <w:rFonts w:ascii="Times New Roman;Times;Serif" w:hAnsi="Times New Roman;Times;Serif"/>
          <w:b w:val="false"/>
          <w:i w:val="false"/>
          <w:caps w:val="false"/>
          <w:smallCaps w:val="false"/>
          <w:sz w:val="20"/>
        </w:rPr>
        <w:t>”), and then Haoxi HK transferred $300,000 to Beijing Haoxi Health Technology Co., Limited (the “</w:t>
      </w:r>
      <w:r>
        <w:rPr>
          <w:rFonts w:ascii="Times New Roman;Times;Serif" w:hAnsi="Times New Roman;Times;Serif"/>
          <w:b/>
          <w:i w:val="false"/>
          <w:caps w:val="false"/>
          <w:smallCaps w:val="false"/>
          <w:sz w:val="20"/>
        </w:rPr>
        <w:t>WFOE</w:t>
      </w:r>
      <w:r>
        <w:rPr>
          <w:rFonts w:ascii="Times New Roman;Times;Serif" w:hAnsi="Times New Roman;Times;Serif"/>
          <w:b w:val="false"/>
          <w:i w:val="false"/>
          <w:caps w:val="false"/>
          <w:smallCaps w:val="false"/>
          <w:sz w:val="20"/>
        </w:rPr>
        <w:t>”). In May 2024, the Company transferred $950,000 to Haoxi HK. In October 2024, the Company transferred $2,000,000 to Haoxi HK.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under the federal securities laws and will be subject to reduced public company reporting requirements. For more detailed discussion, see “Prospectus Summary</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Implications of Our Being an “Emerging Growth Company” and “Item 3. Key Information</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D. Risk Factors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Risks Relating to the Class A Ordinary Shares and the Trading Market</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We are an “emerging growth company” within the meaning of the Securities Act, and if we take advantage of certain exemptions from disclosure requirements available to emerging growth companies, this will make it more difficult to compare our performance with other public companies” and “</w:t>
      </w:r>
      <w:r>
        <w:rPr>
          <w:rFonts w:ascii="Times New Roman;Times;Serif" w:hAnsi="Times New Roman;Times;Serif"/>
          <w:b w:val="false"/>
          <w:i w:val="false"/>
          <w:caps w:val="false"/>
          <w:smallCaps w:val="false"/>
          <w:sz w:val="20"/>
          <w:shd w:fill="FFFFFF" w:val="clear"/>
        </w:rPr>
        <w:t xml:space="preserve">Because we are an “emerging growth company,” we may not be subject to requirements that other public companies are subject to, which could affect investor confidence in us and our Class A Ordinary Shares” in our 2024 Annual Report.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these securities directly to investors, through agents designated from time to time or to or through underwriters or dealers. For additional information on the methods of sale, you should refer to the section entitled “Plan of Distribution” in this prospectus. If any underwriters are involved in the sale of any securities with respect to which this prospectus is being delivered, the names of such underwriters and any applicable commissions or discounts will be set forth in a prospectus supplement. The price to the public of such securities and the net proceeds we expect to receive from such sale will also be set forth in a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June 10,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3725"/>
        <w:gridCol w:w="455"/>
      </w:tblGrid>
      <w:tr>
        <w:trPr/>
        <w:tc>
          <w:tcPr>
            <w:tcW w:w="372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372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01">
              <w:r>
                <w:rPr>
                  <w:rStyle w:val="InternetLink"/>
                  <w:rFonts w:ascii="Times New Roman;Times;Serif" w:hAnsi="Times New Roman;Times;Serif"/>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02">
              <w:r>
                <w:rPr>
                  <w:rStyle w:val="InternetLink"/>
                  <w:rFonts w:ascii="Times New Roman;Times;Serif" w:hAnsi="Times New Roman;Times;Serif"/>
                  <w:sz w:val="20"/>
                </w:rPr>
                <w:t>Commonly Used Defined Terms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03">
              <w:r>
                <w:rPr>
                  <w:rStyle w:val="InternetLink"/>
                  <w:rFonts w:ascii="Times New Roman;Times;Serif" w:hAnsi="Times New Roman;Times;Serif"/>
                  <w:sz w:val="20"/>
                </w:rPr>
                <w:t>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iv</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04">
              <w:r>
                <w:rPr>
                  <w:rStyle w:val="InternetLink"/>
                  <w:rFonts w:ascii="Times New Roman;Times;Serif" w:hAnsi="Times New Roman;Times;Serif"/>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05">
              <w:r>
                <w:rPr>
                  <w:rStyle w:val="InternetLink"/>
                  <w:rFonts w:ascii="Times New Roman;Times;Serif" w:hAnsi="Times New Roman;Times;Serif"/>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06">
              <w:r>
                <w:rPr>
                  <w:rStyle w:val="InternetLink"/>
                  <w:rFonts w:ascii="Times New Roman;Times;Serif" w:hAnsi="Times New Roman;Times;Serif"/>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07">
              <w:r>
                <w:rPr>
                  <w:rStyle w:val="InternetLink"/>
                  <w:rFonts w:ascii="Times New Roman;Times;Serif" w:hAnsi="Times New Roman;Times;Serif"/>
                  <w:sz w:val="20"/>
                </w:rPr>
                <w:t>Dilution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08">
              <w:r>
                <w:rPr>
                  <w:rStyle w:val="InternetLink"/>
                  <w:rFonts w:ascii="Times New Roman;Times;Serif" w:hAnsi="Times New Roman;Times;Serif"/>
                  <w:sz w:val="20"/>
                </w:rPr>
                <w:t>Description of Share Capital</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09">
              <w:r>
                <w:rPr>
                  <w:rStyle w:val="InternetLink"/>
                  <w:rFonts w:ascii="Times New Roman;Times;Serif" w:hAnsi="Times New Roman;Times;Serif"/>
                  <w:sz w:val="20"/>
                </w:rPr>
                <w:t>Description of Debt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20">
              <w:r>
                <w:rPr>
                  <w:rStyle w:val="InternetLink"/>
                  <w:rFonts w:ascii="Times New Roman;Times;Serif" w:hAnsi="Times New Roman;Times;Serif"/>
                  <w:sz w:val="20"/>
                </w:rPr>
                <w:t>Description of Warrants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10">
              <w:r>
                <w:rPr>
                  <w:rStyle w:val="InternetLink"/>
                  <w:rFonts w:ascii="Times New Roman;Times;Serif" w:hAnsi="Times New Roman;Times;Serif"/>
                  <w:sz w:val="20"/>
                </w:rPr>
                <w:t>Description of Units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11">
              <w:r>
                <w:rPr>
                  <w:rStyle w:val="InternetLink"/>
                  <w:rFonts w:ascii="Times New Roman;Times;Serif" w:hAnsi="Times New Roman;Times;Serif"/>
                  <w:sz w:val="20"/>
                </w:rPr>
                <w:t>Description of Rights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12">
              <w:r>
                <w:rPr>
                  <w:rStyle w:val="InternetLink"/>
                  <w:rFonts w:ascii="Times New Roman;Times;Serif" w:hAnsi="Times New Roman;Times;Serif"/>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13">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14">
              <w:r>
                <w:rPr>
                  <w:rStyle w:val="InternetLink"/>
                  <w:rFonts w:ascii="Times New Roman;Times;Serif" w:hAnsi="Times New Roman;Times;Serif"/>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15">
              <w:r>
                <w:rPr>
                  <w:rStyle w:val="InternetLink"/>
                  <w:rFonts w:ascii="Times New Roman;Times;Serif" w:hAnsi="Times New Roman;Times;Serif"/>
                  <w:sz w:val="20"/>
                </w:rPr>
                <w:t>Financial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16">
              <w:r>
                <w:rPr>
                  <w:rStyle w:val="InternetLink"/>
                  <w:rFonts w:ascii="Times New Roman;Times;Serif" w:hAnsi="Times New Roman;Times;Serif"/>
                  <w:sz w:val="20"/>
                </w:rPr>
                <w:t>Information Incorporated by Reference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17">
              <w:r>
                <w:rPr>
                  <w:rStyle w:val="InternetLink"/>
                  <w:rFonts w:ascii="Times New Roman;Times;Serif" w:hAnsi="Times New Roman;Times;Serif"/>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18">
              <w:r>
                <w:rPr>
                  <w:rStyle w:val="InternetLink"/>
                  <w:rFonts w:ascii="Times New Roman;Times;Serif" w:hAnsi="Times New Roman;Times;Serif"/>
                  <w:sz w:val="20"/>
                </w:rPr>
                <w:t>Enforceability of Civil Liabilities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372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hyperlink w:anchor="b_019">
              <w:r>
                <w:rPr>
                  <w:rStyle w:val="InternetLink"/>
                  <w:rFonts w:ascii="Times New Roman;Times;Serif" w:hAnsi="Times New Roman;Times;Serif"/>
                  <w:sz w:val="20"/>
                </w:rPr>
                <w:t>Indemnification for Securities Act Liabilities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b_001"/>
      <w:bookmarkEnd w:id="14"/>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the SEC, under the Securities Act of 1933, as amended, or the Securities Act, using a “shelf” registration process. Under this shelf registration process, we may from time to time sell Class A Ordinary Shares, warrants, units and rights to purchase Class A Ordinary Shares or, debt securities or any combination of the foregoing, either individually or as units comprised of one or more of the other securities, in one or more offerings up to a total dollar amount of $80,000,000. We have provided to you in this prospectus a general description of the securities we may offer. Each time we sell securities under this shelf registration, we will, to the extent required by law,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To the extent there is a conflict between the information contained in this prospectus and the prospectus supplement or any related free writing prospectus, you should rely on the information in the prospectus supplement or the related free writing prospectus; provided that if any statement in one of these documents is inconsistent with a statement in another document having a later date – for example, a document filed after the date of this prospectus and incorporated by reference into this prospectus or any prospectus supplement or any related free writing prospectus – the statement in the document having the later date modifies or supersedes the earlier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 dealer, agent or other person to give any information or to make any representation other than those contained or incorporated by reference in this prospectus and any accompanying prospectus supplement, or any related free writing prospectus that we may authorize to be provided to you. You must not rely upon any information or representation not contained or incorporated by reference in this prospectus or an accompanying prospectus supplement, or any related free writing prospectus that we may authorize to be provided to you.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(as our business, financial condition, results of operations and prospects may have changed since that date), even though this prospectus, any applicable prospectus supplement or any related free writing prospectus is delivered or securities are sold on a later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below under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b_002"/>
      <w:bookmarkEnd w:id="15"/>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to:</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pPr>
            <w:r>
              <w:rPr/>
              <w:t>“</w:t>
            </w:r>
            <w:r>
              <w:rPr>
                <w:rFonts w:ascii="Times New Roman;Times;Serif" w:hAnsi="Times New Roman;Times;Serif"/>
                <w:sz w:val="20"/>
              </w:rPr>
              <w:t>China” or the “PRC” are to the People’s Republic of China;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are to Class A ordinary shares of Haoxi Health Technology Limited, par value $0.0025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are to Class B ordinary shares of Haoxi Health Technology Limited, par value $0.0025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Haoxi Beijing” or “the operating entity” refers to Beijing Haoxi Digital Technology Co., Ltd., formerly known as Beijing Haoxi Culture Media Co., Ltd. prior to September 4, 2020, a limited liability company organized under PRC laws and regulations, which company is wholly owned by WFOE;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Haoxi Cayman,” “our Company,” the “Company,” “we,” “us,” and “our” refer to Haoxi Health Technology Limited, an exempted company limited by shares incorporated under the laws of the Cayman Islands;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Haoxi HK” refers to Haoxi Information Limited, a Hong Kong corporation and wholly owned subsidiary of Haoxi Cayman;</w:t>
            </w:r>
          </w:p>
        </w:tc>
      </w:tr>
    </w:tbl>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pPr>
            <w:r>
              <w:rPr/>
              <w:t>“</w:t>
            </w:r>
            <w:r>
              <w:rPr>
                <w:rFonts w:ascii="Times New Roman;Times;Serif" w:hAnsi="Times New Roman;Times;Serif"/>
                <w:sz w:val="20"/>
              </w:rPr>
              <w:t>Renminbi” or “RMB” are to the legal currency of China;</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170"/>
        <w:gridCol w:w="5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both"/>
              <w:rPr/>
            </w:pPr>
            <w:r>
              <w:rPr/>
              <w:t>“</w:t>
            </w:r>
            <w:r>
              <w:rPr>
                <w:rFonts w:ascii="Times New Roman;Times;Serif" w:hAnsi="Times New Roman;Times;Serif"/>
                <w:sz w:val="20"/>
              </w:rPr>
              <w:t>SEC” are to the U.S. Securities and Exchange Commission;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U.S. dollars,” “$,” and “dollars” are to the legal currency of the United States.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WFOE” refers to Beijing Haoxi Health Technology Co., Limited, a limited liability company organized under the laws and regulations of the People’s Republic of China (the “PRC”), which company is wholly owned by Haoxi HK;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Haoxi Cayman is a Cayman holding company. Our business is conducted by our subsidiary, Haoxi Beijing, in China using RMB. Our consolidated financial statements are presented in U.S. dollars. In this prospectus, we refer to assets, obligations, commitments, and liabilities in our consolidated financial statements in U.S. dollars. These dollar references are based on the exchange rate of RMB to U.S. dollars, determined as of a specific date or for a specific period. Changes in the exchange rate will affect the amount of our obligations and the value of our assets in terms of U.S. dollars which may result in an increase or decrease in the amount of our obligations (expressed in dollars) and the value of our assets, including accounts receivable (expressed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b_003"/>
      <w:bookmarkEnd w:id="16"/>
      <w:r>
        <w:rPr>
          <w:rFonts w:ascii="Times New Roman;Times;Serif" w:hAnsi="Times New Roman;Times;Serif"/>
          <w:b/>
          <w:i w:val="false"/>
          <w:caps w:val="false"/>
          <w:smallCaps w:val="false"/>
          <w:sz w:val="20"/>
        </w:rPr>
        <w:t xml:space="preserve">NOTE REGARDING FORWARD-LOOKING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iv</w:t>
      </w:r>
    </w:p>
    <w:p>
      <w:pPr>
        <w:pStyle w:val="TextBody"/>
        <w:bidi w:val="0"/>
        <w:spacing w:before="0" w:after="0"/>
        <w:jc w:val="center"/>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17" w:name="b_004"/>
      <w:bookmarkEnd w:id="17"/>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following summary is qualified in its entirety by, and should be read in conjunction with, the more detailed information and financial statements included elsewhere in this prospectus. In addition to this summary, we urge you to read the entire prospectus carefully, especially the risks of investing in our Class A Ordinary Shares, discussed under “Risk Factors,” before deciding whether to buy our Class A Ordinary Shares.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Corporate Structure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offshore holding company incorporated in the Cayman Islands as an exempted company limited by shares. Exempted companies are Cayman Island companies conducting business mainly outside the Cayman Islands and, as such, are exempted from complying with certain provisions of the Companies Act (as Revised) of the Cayman Islands (the “</w:t>
      </w:r>
      <w:r>
        <w:rPr>
          <w:rFonts w:ascii="Times New Roman;Times;Serif" w:hAnsi="Times New Roman;Times;Serif"/>
          <w:b/>
          <w:i w:val="false"/>
          <w:caps w:val="false"/>
          <w:smallCaps w:val="false"/>
          <w:sz w:val="20"/>
          <w:bdr w:val="single" w:sz="12" w:space="1" w:color="000000"/>
        </w:rPr>
        <w:t>Cayman Companies Act</w:t>
      </w:r>
      <w:r>
        <w:rPr>
          <w:rFonts w:ascii="Times New Roman;Times;Serif" w:hAnsi="Times New Roman;Times;Serif"/>
          <w:b w:val="false"/>
          <w:i w:val="false"/>
          <w:caps w:val="false"/>
          <w:smallCaps w:val="false"/>
          <w:sz w:val="20"/>
          <w:bdr w:val="single" w:sz="12" w:space="1" w:color="000000"/>
        </w:rPr>
        <w:t>”). As a holding company with no material operations of our own, our operations are conducted in China through our wholly owned indirect PRC subsidiary, Haoxi Beijing. This is an offering of securities of the offshore holding company in the Cayman Islands, instead of securities of the operating entity in China. Therefore, you will not directly hold any equity interests in the operating entity.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diagram illustrates our corporate structure as of the date of this prospectus. For more details on our corporate history, please refer to “Corporate History and Structure.”</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drawing>
          <wp:inline distT="0" distB="0" distL="0" distR="0">
            <wp:extent cx="5715000" cy="3771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5715000" cy="3771900"/>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Note:</w:t>
      </w:r>
    </w:p>
    <w:p>
      <w:pPr>
        <w:pStyle w:val="TextBody"/>
        <w:shd w:fill="FFFFFF" w:val="clear"/>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percentages reflect the voting ownership interests instead of the equity interests held by each of our shareholders, given that each Class B Ordinary Share will be entitled to 10 votes and each Class A Ordinary Share will be entitled to one vote.</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464,400 Class A Ordinary Shares held by three individual shareholders, Lei Xu, Hongli Wu, and Tao Zhao. Each one of them holds less than 5% of our voting ownership interests, as of the date of this prospectus.</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7720" w:type="dxa"/>
        <w:jc w:val="left"/>
        <w:tblInd w:w="0" w:type="dxa"/>
        <w:tblLayout w:type="fixed"/>
        <w:tblCellMar>
          <w:top w:w="0" w:type="dxa"/>
          <w:left w:w="0" w:type="dxa"/>
          <w:bottom w:w="0" w:type="dxa"/>
          <w:right w:w="0" w:type="dxa"/>
        </w:tblCellMar>
      </w:tblPr>
      <w:tblGrid>
        <w:gridCol w:w="260"/>
        <w:gridCol w:w="746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approximately 294,400,00 Class A Ordinary Shares held by public shareholders.</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Currently, we directly hold 100% equity interests in our subsidiaries, and we do not currently use a variable interest entity (“VIE”) structure.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subject to certain legal and operational risks associated with business operations of Haoxi Beijing in China, which could cause the value of our securities to significantly decline or become worthless. Applicable PRC laws and regulations governing such current business operations are sometimes vague and uncertain, and as a result these risks may result in material changes in the operations of Haoxi Beijing, significant depreciation or a complete loss of the value of our Class A Ordinary Shares, or a complete hindrance of our ability to offer, or continue to offer, our securities to investors.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our Class A Ordinary Shares may be prohibited from trading on a national exchange under the HFCA Act, as amended by the Accelerating Holding Foreign Companies Accountable Act, if the PCAOB is unable to inspect our auditors for two consecutive years. On December 16, 2021, the PCAOB issued a report on its determinations that it was unable to inspect or investigate completely PCAOB-registered public accounting firms headquartered in mainland China and in Hong Kong, a Special Administrative Region of the PRC, because of positions taken by PRC authorities in those jurisdictions. Our auditor, Wei, Wei &amp; Co., LLP, is not headquartered in mainland China or Hong Kong and was not identified in this report as a firm subject to the PCAOB’s determination. Our auditor, Wei, Wei &amp; Co., LLP,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auditor’s registration with the PCAOB took effect in March 2006, and it is currently subject to PCAOB inspections, having its last inspection completed as of December 31, 2022. The PCAOB currently has access to inspect the working papers of our auditor.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On August 26, 2022, the CSRC, the MOF, and the PCAOB signed the Protocol, governing inspections and investigations of accounting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Board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Board will consider the need to issue a new determination. On December 29, 2022, President Biden signed into law the Accelerating Holding Foreign Companies Accountable Act as a part of the Consolidated Appropriations Act, amending the HFCA Act and requiring the SEC to prohibit an issuer’s securities from trading on any U.S. stock exchange if its auditor is not subject to PCAOB inspections for two consecutive years instead of three consecutive years.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 Act, if needed.</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See “Item 3. Key Information—D. Risk Factors—Risks Relating to Doing Business in the PRC—Recent joint statement by the SEC and the PCAOB, rule changes by Nasdaq, and the HFCA Act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 in our 2024 Annual Report.</w:t>
      </w:r>
    </w:p>
    <w:p>
      <w:pPr>
        <w:pStyle w:val="TextBody"/>
        <w:bidi w:val="0"/>
        <w:spacing w:before="0" w:after="0"/>
        <w:ind w:left="0" w:right="0" w:firstLine="36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r>
        <w:rPr>
          <w:rFonts w:ascii="Times New Roman;Times;Serif" w:hAnsi="Times New Roman;Times;Serif"/>
          <w:b w:val="false"/>
          <w:i w:val="false"/>
          <w:caps w:val="false"/>
          <w:smallCaps w:val="false"/>
          <w:sz w:val="20"/>
          <w:bdr w:val="single" w:sz="12" w:space="1" w:color="000000"/>
        </w:rPr>
        <w:t>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Beijing Haoxi, the operating entity, is an online marketing solution provider in China, with an advertiser client base mainly in the healthcare industry. The growth of the operating entity in recent years has benefited from the quick increase of news feed ads, its major form of ad placement, in the industry of online marketing in China. In addition, the healthcare industry in China has developed rapidly because of the growth both in the average income and the aging population, which provide a conducive environment for the development of the operating entity’s business. The operating entity has a management team with several years of experience in marketing for healthcare companies. Its own data analysis software “Bidding Compass” has helped it obtain a large volume of ad placement data. Moreover, it has developed a stable placement history with mainstream online advertising platforms in China and has been working closely with them since its establishment in 2018.</w:t>
      </w:r>
    </w:p>
    <w:p>
      <w:pPr>
        <w:pStyle w:val="TextBody"/>
        <w:shd w:fill="FFFFFF" w:val="clear"/>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operating entity mainly generates its revenue by providing one-stop online marketing solutions, in particular, it provides online short video ads for advertiser customers through its media partners. Media partners include both media platforms (such as Toutiao and Douyin), as well as authorized third-party agents of media platforms, through which the operating entity places ads for its advertiser customers when it has no direct contact with the platform. The operating entity procures ad slots from the media partners (which it regards as its suppliers) to place ads for its advertiser customers. The operating entity provides customized marketing solutions by planning, producing, placing, and optimizing online ads, especially online short video ads, to help its advertisers acquire, convert, and retain ultimate consumers on various online media platforms. The operating entity has served approximately 2,000 advertisers since its incorporation in 2018, the majority of which are healthcare companies. During the six months ended December 31, 2024, it served 389 advertisers, of which 345 were healthcare companies. During the fiscal years ended June 30, 2024, 2023 and 2022, it served 543, 393 and 243 advertisers, respectively, of which 471, 341 and 128 were healthcare companies, respectively. The operating entity primarily places its ads through mainstream online short video platforms and social media platforms in China, such as Toutiao, Douyin, WeChat, and Weibo. The operating entity is dedicated to reducing costs and increasing efficiency for its advertisers and offering them easy online marketing solutions.</w:t>
      </w:r>
    </w:p>
    <w:p>
      <w:pPr>
        <w:pStyle w:val="TextBody"/>
        <w:shd w:fill="FFFFFF" w:val="clear"/>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table sets forth some KPIs of the operating entity’s online marketing solutions for the periods indicated below.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5705" w:type="dxa"/>
        <w:jc w:val="left"/>
        <w:tblInd w:w="0" w:type="dxa"/>
        <w:tblLayout w:type="fixed"/>
        <w:tblCellMar>
          <w:top w:w="0" w:type="dxa"/>
          <w:left w:w="0" w:type="dxa"/>
          <w:bottom w:w="0" w:type="dxa"/>
          <w:right w:w="0" w:type="dxa"/>
        </w:tblCellMar>
      </w:tblPr>
      <w:tblGrid>
        <w:gridCol w:w="2405"/>
        <w:gridCol w:w="60"/>
        <w:gridCol w:w="60"/>
        <w:gridCol w:w="680"/>
        <w:gridCol w:w="215"/>
        <w:gridCol w:w="60"/>
        <w:gridCol w:w="60"/>
        <w:gridCol w:w="800"/>
        <w:gridCol w:w="215"/>
        <w:gridCol w:w="60"/>
        <w:gridCol w:w="60"/>
        <w:gridCol w:w="800"/>
        <w:gridCol w:w="230"/>
      </w:tblGrid>
      <w:tr>
        <w:trPr/>
        <w:tc>
          <w:tcPr>
            <w:tcW w:w="24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1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Fiscal Years Ended</w:t>
              <w:br/>
              <w:t>June 30,</w:t>
            </w:r>
          </w:p>
        </w:tc>
        <w:tc>
          <w:tcPr>
            <w:tcW w:w="23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Impressions (millions)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978.04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1551.22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2229.07</w:t>
            </w:r>
          </w:p>
        </w:tc>
        <w:tc>
          <w:tcPr>
            <w:tcW w:w="23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Click-throughs (millions)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51.65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54.43</w:t>
            </w:r>
          </w:p>
        </w:tc>
        <w:tc>
          <w:tcPr>
            <w:tcW w:w="23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Conversions (thousands)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441.44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800.39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931.39</w:t>
            </w:r>
          </w:p>
        </w:tc>
        <w:tc>
          <w:tcPr>
            <w:tcW w:w="23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Click-throughs Rate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2.44</w:t>
            </w:r>
          </w:p>
        </w:tc>
        <w:tc>
          <w:tcPr>
            <w:tcW w:w="230" w:type="dxa"/>
            <w:tcBorders/>
            <w:shd w:fill="FFFFFF" w:val="clear"/>
            <w:vAlign w:val="center"/>
          </w:tcPr>
          <w:p>
            <w:pPr>
              <w:pStyle w:val="TableContents"/>
              <w:bidi w:val="0"/>
              <w:spacing w:before="0" w:after="283"/>
              <w:jc w:val="left"/>
              <w:rPr/>
            </w:pPr>
            <w:r>
              <w:rPr/>
              <w:t>%</w:t>
            </w:r>
          </w:p>
        </w:tc>
      </w:tr>
      <w:tr>
        <w:trPr/>
        <w:tc>
          <w:tcPr>
            <w:tcW w:w="2405" w:type="dxa"/>
            <w:tcBorders/>
            <w:shd w:fill="CCEEFF" w:val="clear"/>
            <w:vAlign w:val="center"/>
          </w:tcPr>
          <w:p>
            <w:pPr>
              <w:pStyle w:val="TableContents"/>
              <w:bidi w:val="0"/>
              <w:spacing w:before="0" w:after="283"/>
              <w:jc w:val="left"/>
              <w:rPr/>
            </w:pPr>
            <w:r>
              <w:rPr/>
              <w:t>Conversion Rate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Impression refers to the number of page views of an ad, which are counted and judged as “valid” by media platforms’ backend system and charged by media platforms. A media platforms’ backend system instantly checks if a page view is valid when an ad is displayed. Invalid page views include fraudulent page views or a large amount of page views in a short period of time on the same ad by an identical user account, of which the duplicate views will not be counted towards the number of impressions. Page views that are not identified as “invalid” are considered as valid by media platform’s backend system.</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9460" w:type="dxa"/>
        <w:jc w:val="left"/>
        <w:tblInd w:w="0" w:type="dxa"/>
        <w:tblLayout w:type="fixed"/>
        <w:tblCellMar>
          <w:top w:w="0" w:type="dxa"/>
          <w:left w:w="0" w:type="dxa"/>
          <w:bottom w:w="0" w:type="dxa"/>
          <w:right w:w="0" w:type="dxa"/>
        </w:tblCellMar>
      </w:tblPr>
      <w:tblGrid>
        <w:gridCol w:w="185"/>
        <w:gridCol w:w="927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an Internet user clicks on an ad, a click incident is triggered, and this incident is considered a click-through.</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an Internet user submits a survey, sheet or other interactive forms contained in the advertisement with the user’s contact information after the click-through, a submission incident is triggered, and this incident is considered a conversion.</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CTR is calculated by dividing the total number of clicks-throughs by the total number of impressions. CTR provides useful information on monitoring the effect and quality of ad placement, the attractiveness of ads to Internet users, the creativeness of ads, and the accuracy of selecting the placement target audience. Management of the operating entity uses CTR to monitor the intermediate effect and quality of ad placement. CTR also enables the operating entity’s management to adjust placement plan and content design of an ad.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CVR is calculated by dividing the total number of conversions by the number of click-throughs. CVR provides useful information on monitoring the effect and quality of ad placement, the effect and quality of the interactive form included in an ad, the attractiveness of the interactive form to Internet users, and the accuracy of selecting the placement target audience. Management of the operating entity uses CVR to monitor the final and overall effect and quality of ad placement and interactive forms. CVR also enables the operating entity’s management to adjust the placement plan and content design of an ad.</w:t>
            </w:r>
          </w:p>
        </w:tc>
      </w:tr>
    </w:tbl>
    <w:p>
      <w:pPr>
        <w:pStyle w:val="TextBody"/>
        <w:shd w:fill="FFFFFF" w:val="clear"/>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the six months ended December 31, 2024, we had revenue of $ 23,954,998 and net loss of $232,533. For the fiscal years ended June 30, 2024, 2023 and 2022, we had revenue of $48.52million, $28.23 million and $16.16 million, respectively, and net income of $1,291,667, $969,752 and $244,587, respectively.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Dividend Distributions, Cash Transfer, and Tax Consequences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none of our subsidiaries have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If we determine to pay dividends on any of our Class A Ordinary Shares in the future, as a holding company, we will be dependent on receipt of funds from our PRC subsidiary, Haoxi Beijing. For more detailed discussion of how cash and other assets are transferred among our Company and our subsidiaries, see our audited consolidated financial statements (“CFS”) as of and for the fiscal years ended June 30, 2024 and 2023 included in “Item 18. Financial Statements” in our 2024 Annual Report and the unaudited CFS as of and for the six months ended December 31, 2024 and 2023 included in Exhibit 99.1 to the Form 6-K furnished by the Company on April 23, 2025.</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To the extent cash in the business is in the PRC, such funds may not be available to fund operations or for other use outside of the PRC, due to interventions of, or the imposition of restrictions and limitations on, the ability of our Company and Haoxi Beijing by the PRC government to transfer cash. See “Item 3. Key Information—D. Risk Factors—Risks Related to Doing Business in China—To the extent cash or assets of our business, or of Haoxi Beijing, is in the PRC, such cash or assets may not be available to fund operations or for other use outside of the PRC, due to interventions of, or the imposition of restrictions and limitations by, the PRC government to the transfer of cash or assets.” in our 2024 Annual Report. PRC regulations currently permit Haoxi Beijing to pay dividends only out of its accumulated profits, if any, as determined in accordance with PRC accounting standards and regulations. In addition, if Haoxi Beijing distributes its after-tax profits for the current financial year, it is required to set aside, at a minimum, 10% of its net income, if any, to fund a statutory surplus reserve until the cumulative amount of such reserve reaches 50% of its registered capital, and such reserve may not be distributed as cash dividends. PRC laws and regulations allow us to provide funding to Haoxi Beijing only through loans or capital contributions, subject to the filing or approval of government authorities and limits on the amount of capital contributions and loans. As a result, in the event that Haoxi Beijing incurs debt on its own behalf in the future, the instruments governing the debt may restrict any such entity’s ability to pay dividends or make other distributions to us. See “Item 3. Key Information—D. Risk Factors—Risks Related to Doing Business in China—PRC regulations of loans to, and direct investment in, PRC entities by offshore holding companies, and governmental control of currency conversion may limit our ability to use the proceeds of offshore offering to make loans or additional capital contributions to Haoxi Beijing, which could materially and adversely affect our liquidity and our ability to fund and expand our business.” in our 2024 Annual Report.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finance department supervises cash management, following the instructions of our management. Our finance department is responsible for establishing our cash operation plan and coordinating cash management matters among our subsidiaries and departments. Each subsidiary and department initiates a cash request by putting forward a cash demand plan, which explains the specific amount and timing of cash requested, and submits it to our finance department. The finance department reviews the cash demand plan and prepares a summary for the management of our Company. Management examines and approves the allocation of cash based on the sources of cash and the priorities of the needs. Other than the above, we currently do not have other cash management policies or procedures that dictate how funds are transferred. In April 2024, the Company transferred $350,000 to Haoxi HK, and then Haoxi HK transferred $300,000 to WFOE. In May 2024, the Company transferred $950,000 to Haoxi HK. In October 2024, the Company transferred $2,000,000 to Haoxi HK.</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Our Being an “Emerging Growth Company”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company with less than $1.235 billion in revenue during our last fiscal year, we qualify as an “emerging growth company” as defined in the Jumpstart Our Business Startups Act of 2012, or the “JOBS Act.” An “emerging growth company” may take advantage of reduced reporting requirements that are otherwise applicable to larger public companies. In particular, as an emerging growth company, we: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present only two years of audited financial statements and only two years of related Management’s Discussion and Analysis of Financial Condition and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required to provide a detailed narrative disclosure discussing our compensation principles, objectives and elements and analyzing how those elements fit with our principles and objectives, which is commonly referred to as “compensation discussion and analysis”;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required to obtain an attestation and report from our auditors on our management’s assessment of our internal control over financial reporting pursuant to the Sarbanes-Oxley Act of 2002;</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required to obtain a non-binding advisory vote from our shareholders on executive compensation or golden parachute arrangements (commonly referred to as the “say-on-pay,” “say-on frequency,” and “say-on-golden-parachute” votes);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exempt from certain executive compensation disclosure provisions requiring a pay-for-performance graph and chief executive officer pay ratio disclosure;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eligible to claim longer phase-in periods for the adoption of new or revised financial accounting standards under §107 of the JOBS Act;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will not be required to conduct an evaluation of our internal control over financial reporting until our second annual report on Form 20-F following the effectiveness of our initial public offering.</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intend to take advantage of all of these reduced reporting requirements and exemptions, including the longer phase-in periods for the adoption of new or revised financial accounting standards under §107 of the JOBS Act. Our election to use the phase-in periods may make it difficult to compare our financial statements to those of non-emerging growth companies and other emerging growth companies that have opted out of the phase-in periods under §107 of the JOBS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JOBS Act, we may take advantage of the above-described reduced reporting requirements and exemptions until we no longer meet the definition of an emerging growth company. The JOBS Act provides that we would cease to be an “emerging growth company” at the end of the fiscal year in which the fifth anniversary of our initial sale of common equity pursuant to a registration statement declared effective under the Securities Act of 1933, as amended (the “Securities Act”), occurred, if we have more than $1.235 billion in annual revenue, have more than $700 million in market value of our Class A Ordinary Shares held by non-affiliates, or issue more than $1 billion in principal amount of non-convertible debt over a three-year period.</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b_005"/>
      <w:bookmarkEnd w:id="18"/>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You should carefully consider the risk factors set forth under “Risk Factors” described in our 2024 Annual Report, as supplemented and updated by subsequent current reports on Form 6-K that we have filed with the SEC, together with all other information contained or incorporated by reference in this prospectus and any applicable prospectus supplement and in any related free writing prospectus in connection with a specific offering, before making an investment decision. Each of the risk factors could materially and adversely affect our business, operating results, financial condition and prospects, as well as the value of an investment in our securities, and the occurrence of any of these risks might cause you to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 exerts substantial influence over the manner in which we conduct our business activities. The PRC government may also intervene or influence our operations and the offering pursuant to any accompanying prospectus supplement at any time, which could result in a material change in our operations and our Class A Ordinary Shares could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advised by our PRC counsel, Sino Pro Law Firm, except for the filing procedures with the CSRC and the reporting of relevant information according to the Overseas Listing Trial Measures, we are currently not required to obtain any other approval from any other Chinese authorities for the offering pursuant to any accompanying prospectus supplement, as of the date of this prospectus. However, if our Company or any of our PRC subsidiaries are required to obtain any other approvals in the future and are denied permission from Chinese authorities for the offering pursuant to any accompanying prospectus supplement, we may not be able to continue listing on U.S. exchanges, or continue to offer securities to investors, and it may materially affect the interest of the investors and cause significantly depreciation of our price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has exercised and continues to exercise substantial control over virtually every sector of the Chinese economy through regulation and state ownership.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our operations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the Chinese cybersecurity regulator announced on July 2, 2021, that it had begun an investigation of Didi Global Inc. (NYSE: DIDI) and two days later ordered that the company’s app be removed from smartphone app stores. Similarly, the operating entity’s business segments may be subject to various government and regulatory interference in the regions in which it operates. It could be subject to regulation by various political and regulatory entities, including various local and municipal agencies and government sub-divisions. The operating entity may incur increased costs to comply with existing and newly adopted laws and regulations or penalties for any failure to comply.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it is uncertain when and whether we will be required to obtain any other permission from the PRC government for the offering pursuant to any accompanying prospectus supplement, and even when such permission is obtained, whether it will be later denied or rescinded. As of the date of this prospectus, except for the filing procedures with the CSRC and the reporting of relevant information according to the Overseas Listing Trial Measures, we believe we are currently not required to obtain any other permission from any of the PRC national or local government regulatory entities for the offering pursuant to any accompanying prospectus supplement, and have not received any denial to list on the U.S. exchange. However, the operating entity’s operations could be adversely affected, directly or indirectly, by existing or future laws and regulations relating to its business or industry. Recent statements by the Chinese government indicate an intent, and the PRC government may take actions, to exert more oversight and control over offerings that are conducted overseas and/or foreign investment in China-based issuers, could, if implemented, significantly limit or completely hinder our ability to offer or continue to offer securities to investors and cause the value of our securities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CSRC has promulgated Overseas Listing Trial Measures on February 17, 2023. The offering pursuant to any accompanying prospectus supplement will be determined to be an indirect overseas offering and is, therefore, subject to the CSRC filing procedures, which could significantly limit or completely hinder our ability to offer or continue to offer our Class A Ordinary Shares to investors and could cause the value of our Class A Ordinary Shares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released the Overseas Listing Trial Measures, which came into effect on March 31, 2023. According to the Overseas Listing Trial Measures, Chinese domestic companies that seek to offer and list securities in overseas markets, either in direct or indirect means, are required to fulfill the filing procedures with the CSRC and report relevant information. If a domestic company fails to complete the filing procedures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CFS for the same period; (ii) its major operational activities are carried out in China or its main places of business are located in China or the senior managers in charge of operation and management of the issuer are mostly Chinese citizens or are domiciled in China. Where a domestic company seeks to indirectly offer and list securities in an overseas market, the issuer shall designate a major domestic operating entity responsible for all filing procedures with the CSRC. The required filing scope is not limited to the initial public offering, but also includes any subsequent overseas securities offering, single or multiple acquisition(s), share swap, transfer of shares or other means to seek an overseas direct or indirect listing and a secondary listing or dual major listing of issuers already listed overseas. Subsequent securities offerings of an issuer in the same overseas market where it has previously offered and listed securities shall be filed with the CSRC within 3 working days after the offering is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advised by our PRC counsel, Sino Pro Law Firm, since the operating entity accounted for more than 50% of our consolidated revenues, profit, total assets or net assets for the six months as of December 31, 2024 and 2023, and fiscal years ended June 30, 2024 and 2023, and the key components of our operations are carried out in China, the offering pursuant to any accompanying prospectus supplement is considered an indirect offering by China-based companies, and we are, therefore, subject to the Overseas Listing Trial Measures for filing procedures with the CSRC and shall file with the CSRC within three working days after the completion of the offering pursuant to any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overseas offering and listing is prohibited under any of the following circumstances: (1) if the intended securities offering and listing is specifically prohibited by national laws and regulations and relevant provisions; (2) if the intended securities offering and listing may constitute a threat to or endangers national security as reviewed and determined by competent authorities under the State Council in accordance with law; (3) if, in the past three years, the domestic enterprise or its controlling shareholders or actual controllers have committed corruption, bribery, embezzlement, misappropriation of property, or other criminal offenses disruptive to the order of the socialist market economy; (4) the domestic companies are currently under judicial investigation for suspicion of criminal offenses, or are under investigation for suspicion of major violations, and no conclusion has yet been made thereof; (5) if there are material ownership disputes over the equity held by the domestic company’s controlling shareholder or by other shareholders that are controlled by the controlling shareholder and/or actual controller. Since these statements and regulatory actions by the PRC government are newly published and there exists uncertainty with respect to their requirements and implementation, it is highly uncertain what the potential impact such modified or new laws and regulations will have on our or the PRC operating entities’ daily business operation, the ability to accept foreign investments and listing on U.S. exchanges. We cannot assure you that we will be able to fully comply with such rules, to conduct the offering pursuant to any accompanying prospectus supplement, to maintain the listing status of our securities, or to conduct any overseas securities offerings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Overseas Listing Trial Measures, will subject us to additional compliance requirements in the future, and although we received confirmation of the completion of the filing process for the offering pursuant to any accompanying prospectus supplement, we cannot assure you that we will be able to get the clearance of filing procedures under the Overseas Listing Trial Measures in any future subsequent offerings on a timely basis, or at all. Any failure by us to fully comply with new regulatory requirements may significantly limit or completely hinder our ability to offer or continue to offer our Class A Ordinary Shares, cause significant disruption to our business operations, and severely damage our reputation, which would materially and adversely affect our financial condition and results of operations and cause our Class A Ordinary Shares to significantly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b_006"/>
      <w:bookmarkEnd w:id="1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any prospectus supplement and any free writing prospectus in connection with a specific offering, we currently intend to use the net proceeds from the sale of the securities offered under this prospectus to fund the development and commercialization of our projects and the growth of our business, primarily working capital, and for general corporate purposes. We may also use a portion of the net proceeds to acquire or invest in technologies, products and/or businesses that we believe will enhance the value of our Company, although we have no current commitments or agreements with respect to any such transactions as of the date of this prospectus. We have not determined the amount of net proceeds to be used specifically for the foregoing purposes. As a result, our management will have broad discretion in the allocation of the net proceeds and investors will be relying on the judgment of our management regarding the application of the proceeds of any sale of the securities. If a material part of the net proceeds is to be used to repay indebtedness, we will set forth the interest rate and maturity of such indebtedness in a prospectus supplement. Pending use of the net proceeds will be deposited in interest bearing bank accounts.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b_007"/>
      <w:bookmarkEnd w:id="20"/>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net tangible book value per share of our equity securities before and after the offering;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amount of the increase in such net tangible book value per share attributable to the cash payments made by purchasers in the offering;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amount of the immediate dilution from the public offering price which will be absorbed by such purchasers.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b_008"/>
      <w:bookmarkEnd w:id="21"/>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and traded on the Nasdaq Capital Market, and in connection therewith, the Class A Ordinary Shares are registered under Section 12(b) of the Securities Exchange Act of 1934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provisions of our currently effective amended and restated memorandum and articles of association (the “</w:t>
      </w:r>
      <w:r>
        <w:rPr>
          <w:rFonts w:ascii="Times New Roman;Times;Serif" w:hAnsi="Times New Roman;Times;Serif"/>
          <w:b/>
          <w:i w:val="false"/>
          <w:caps w:val="false"/>
          <w:smallCaps w:val="false"/>
          <w:sz w:val="20"/>
        </w:rPr>
        <w:t>Memorandum and Articles of Association</w:t>
      </w:r>
      <w:r>
        <w:rPr>
          <w:rFonts w:ascii="Times New Roman;Times;Serif" w:hAnsi="Times New Roman;Times;Serif"/>
          <w:b w:val="false"/>
          <w:i w:val="false"/>
          <w:caps w:val="false"/>
          <w:smallCaps w:val="false"/>
          <w:sz w:val="20"/>
        </w:rPr>
        <w:t>”) as well as the Companies Act (Revised) of the Cayman Islands (the “</w:t>
      </w:r>
      <w:r>
        <w:rPr>
          <w:rFonts w:ascii="Times New Roman;Times;Serif" w:hAnsi="Times New Roman;Times;Serif"/>
          <w:b/>
          <w:i w:val="false"/>
          <w:caps w:val="false"/>
          <w:smallCaps w:val="false"/>
          <w:sz w:val="20"/>
        </w:rPr>
        <w:t>Cayman Companies Act</w:t>
      </w:r>
      <w:r>
        <w:rPr>
          <w:rFonts w:ascii="Times New Roman;Times;Serif" w:hAnsi="Times New Roman;Times;Serif"/>
          <w:b w:val="false"/>
          <w:i w:val="false"/>
          <w:caps w:val="false"/>
          <w:smallCaps w:val="false"/>
          <w:sz w:val="20"/>
        </w:rPr>
        <w:t>”) insofar as they relate to the material terms of our Class A Ordinary Shares. Notwithstanding this, because it is a summary, it may not contain all the information that you may otherwise deem important. For more complete information, you should read the entirety of our Memorandum and Articles of Association, filed as Exhibit 3.1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dual-class voting structure such that our ordinary shares consist of Class A Ordinary Shares and Class B Ordinary Shares. Each Class A Ordinary Share is entitled to one (1) vote on all matters subject to vote at general and special meetings of the Company and each Class B Ordinary Share is entitled to ten (10) votes on all matters subject to vote at general meetings (include extraordinary general meetings) of the Company. Holders of Class A Ordinary Shares and Class B Ordinary Shares shall, at all times, vote together as one Class on all matters submitted to a vote by the shareholders. Due to the super voting power of Class B ordinary shareholder, the voting power of the Class A Ordinary Shares may be materially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10, 2025, there are 2,205,795 Class A Ordinary Shares issued and outstanding and 690,800 Class B Ordinary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Preemptive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not subject to any pre-emptive or similar rights under the Cayman Companies Act or pursuant to our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Rights of Class A Ordinary Shares and Class B Ordinary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is $</w:t>
      </w:r>
      <w:r>
        <w:rPr>
          <w:rFonts w:ascii="Times New Roman;Times;Serif" w:hAnsi="Times New Roman;Times;Serif"/>
          <w:b w:val="false"/>
          <w:i w:val="false"/>
          <w:caps w:val="false"/>
          <w:smallCaps w:val="false"/>
          <w:sz w:val="20"/>
          <w:shd w:fill="FFFFFF" w:val="clear"/>
        </w:rPr>
        <w:t>1,000,000</w:t>
      </w:r>
      <w:r>
        <w:rPr>
          <w:rFonts w:ascii="Times New Roman;Times;Serif" w:hAnsi="Times New Roman;Times;Serif"/>
          <w:b w:val="false"/>
          <w:i w:val="false"/>
          <w:caps w:val="false"/>
          <w:smallCaps w:val="false"/>
          <w:sz w:val="20"/>
        </w:rPr>
        <w:t>, divided into 300,000,000 Class A Ordinary Shares and 100,000,000 Class B Ordinary Shares. Holders of our Class A Ordinary Shares and Class B Ordinary Shares have the same rights except for voting rights and conversion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Class A Ordinary Shares and Class B Ordinary Shares are entitled to such dividends as may be declared by our board of directors subject to the Cayman Companies Act and to our Memorandum and Articles of Association. Our Memorandum and Articles of Association provide that our board of directors may pay interim dividends or declare final dividends in accordance with the respective rights of the shareholders if it appears to them that they are justified by the financial position of the Company and that such dividends may lawfully be paid. In addition, our shareholders may by ordinary resolution declare dividends in accordance with the respective rights of the shareholders, but no dividend may exceed the amount recommended by our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all matters subject to a shareholders’ vote, each Class B Ordinary Share is entitled to ten (10) votes, and each Class A Ordinary Share is entitled to one (1) vote, voting together as one class. At any general meeting a resolution put to the vote of the meeting shall be decided on a poll which shall be taken at such time and in such manner as the Chairman of the meeting directs and the result of the poll shall be deemed to be the resolution of the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shall be transacted at any general meeting unless a quorum of members is present in person or by proxy; if the Company has only one member, that member; or if the Company has more than one member, two members. An ordinary resolution to be passed at a general meeting requires the affirmative vote of a simple majority of the votes cast, while a special resolution requires the affirmative vote of at least two-thirds of such members as, being entitled to do so, vote in person or by proxy at a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are not convertible. Each Class B Ordinary Share shall be converted at the option of the holder at any time after issuance and without the payment of any additional sum, into one Class A Ordinary Share in accordance with our Articles of Association. The Class B Ordinary Shares will be automatically and immediately converted into an equal and corresponding number of Class A Ordinary Shares (being a 1:1 ratio and hereafter referred to as the “Conversion Rate”, subject to adjustment) upon any sale, transfer, assignment or disposition of Class B Ordinary Shares by a holder thereof to any person or entity which is not an affiliate of such holder (except where the sale, transfer, assignment or disposition is in relation to at least 50% of the then issued and outstanding Class B Ordinary Shares, such transferred Class B Ordinary Shares will not be converted into Class A Ordinary Shares and will remain as Class B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may be appointed by an ordinary resolution of our shareholder or by a resolution of the directors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set out below and the conversion rights described above, any of our shareholders may transfer all or any of their Class A Ordinary Shares or Class B Ordinary Shares by an instrument of transfer in the usual or common form or any other form approved by our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decline to register any transfer of any shares unless: (a) the instrument of transfer is lodged with the Company, accompanied by the certificate (if any) for the shares to which it relates and such other evidence as our board of directors may reasonably require to show the right of the transferor to make the transfer; (b) the instrument of transfer is in respect of only one class of shares; (c) the instrument of transfer is properly stamped, if required; (d) in the case of a transfer to joint holders, the number of joint holders to whom the share is to be transferred does not exceed four; (e) the shares transferred are fully paid up and free of any lien in favor of the Company; and (f) any applicable fee of such maximum sum as the applicable stock exchange may determine to be payable, or such lesser sum as the board of directors may from time to time require, related to the transfer is paid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sole discretion, decline to register any transfer of any Class A Ordinary Shares or Class B Ordinary Shares whether or not it is fully paid up to the total consideration paid for such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months after the date on which the instrument of transfer was lodged, send to the transferee notice of such refusal.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be suspended and the register closed at such times and for such periods as our board of directors may from time to time determine; provided, however, that the registration of transfers shall not be suspended for more than 30 days in any calendar year as our board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Winding-Up/Liquidation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return of capital on winding up or otherwise (other than on conversion, redemption or purchase of shares), a liquidator may be appointed to determine how to distribute the assets among the holders of the Class A Ordinary Shares and Class B Ordinary Shares. If our assets available for distribution are insufficient to repay all of the paid-up capital, the assets will be distributed so that the losses are borne by our shareholders proportionately; a similar basis will be employed if the assets are more than sufficient to repay the whole of the capital at the commencement of the winding 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on Ordinary Shares and Forfeiture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from time to time make calls upon shareholders for any amounts unpaid on their Class A Ordinary Shares or Class B Ordinary Shares in a notice served to such shareholders at least 14 clear days prior to the specified time and place of payment. The shares that have been called upon and remain unpaid on the specified time are subject to forfeiture.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Class A Ordinary Shares nor the Class B Ordinary Shares are redeemable at the option of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and our Memorandum and Articles of Association permit us to purchase, redeem or otherwise acquire our own shares, subject to certain restrictions and requirements under the Cayman Companies Act, our Memorandum and Articles of Association and any applicable requirements imposed from time to time by the Nasdaq and the SEC. In accordance with our Memorandum and Articles of Association and provided the necessary shareholders or board approval have been obtained, we may issue shares on terms that are subject to redemption, at our option or at the option of the holders of these shares, on such terms and in such manner, including out of capital, as may be determined by our board of directors. Under the Cayman Companies Act, the repurchase of any share may be paid out of our company’s profits, out of our share capital account or out of the proceeds of a fresh issue of shares made for the purpose of such repurchase, or, subject to certain conditions, out of capital. If the repurchase proceeds are paid out of our Company’s capital, our Company must, immediately following such payment, be able to pay its debts as they fall due in the ordinary course of business. In addition, under the Cayman Companies Act, no such share may be repurchased (1) unless it is fully paid up, (2) if such repurchase would result in there being no shares outstanding, and (3) unless the manner of purchase (if not so authorized under the Memorandum and Articles of Association) has first been authorized by a resolution of our shareholders. In addition, under the Cayman Companies Act, our Company may accept the surrender of any fully paid share for no consideration unless, as a result of the surrender, the surrender would result in there being no shares outstanding (other than shares held as treasury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Variations of Rights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attached to any class of shares (unless otherwise provided by the terms of issue of the shares of that class), whether or not our company is being wound-up, may be varied with the consent in writing of the holders of two-thirds of the issued shares of that class or with the sanction of a special resolution passed at a separate meeting of the holders of the shares of the class.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such existing class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the number of shares we are authorized to issue and those in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by resolution of shareholders:</w:t>
      </w:r>
    </w:p>
    <w:p>
      <w:pPr>
        <w:pStyle w:val="TextBody"/>
        <w:bidi w:val="0"/>
        <w:spacing w:before="0" w:after="0"/>
        <w:ind w:left="0" w:right="0" w:firstLine="360"/>
        <w:jc w:val="both"/>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the authorized share capital of our Company;</w:t>
            </w:r>
          </w:p>
        </w:tc>
      </w:tr>
    </w:tbl>
    <w:p>
      <w:pPr>
        <w:pStyle w:val="TextBody"/>
        <w:bidi w:val="0"/>
        <w:spacing w:before="0" w:after="0"/>
        <w:ind w:left="720" w:right="0" w:hanging="0"/>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5"/>
        <w:gridCol w:w="170"/>
        <w:gridCol w:w="9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shares into shares of an amount smaller than that fixed by the Memorandum and Articles of Association;</w:t>
            </w:r>
          </w:p>
        </w:tc>
      </w:tr>
    </w:tbl>
    <w:p>
      <w:pPr>
        <w:pStyle w:val="TextBody"/>
        <w:bidi w:val="0"/>
        <w:spacing w:before="0" w:after="0"/>
        <w:ind w:left="720" w:right="0" w:firstLine="36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its share capital into shares of larger amount than its existing shares; and</w:t>
            </w:r>
          </w:p>
        </w:tc>
      </w:tr>
    </w:tbl>
    <w:p>
      <w:pPr>
        <w:pStyle w:val="TextBody"/>
        <w:bidi w:val="0"/>
        <w:spacing w:before="0" w:after="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shares which, at the date of the passing of the resolution, have not been taken or agreed to be taken by any person, and diminish the amount of its share capital by the amount of the shares so cancelled.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Additional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authorizes our board of directors to issue additional Class A Ordinary Shares or Class B Ordinary Shares from time to time as our board of directors shall determine, to the extent of available authorized but unissued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additional shares may dilute the voting power of holders of Class A Ordinary Shares and Class B Ordinary Shares. However, our Memorandum and Articles of Association provide for authorized share capital comprising Class A Ordinary Shares and Class B Ordinary Shares and to the extent the rights attached to any class may be varied, the Company must comply with the provisions in the Memorandum and Articles of Association relating to variations to rights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Memorandum and Articles of Association may discourage, delay or prevent a change of control of our Company or management that shareholders may consider favorable. Our authorized, but unissued Class A Ordinary Shares and Class B Ordinary Shares are available for future issuance without shareholders’ approval and could be utilized for a variety of corporate purposes, including future offerings to raise additional capital, acquisitions and employee benefit plans. The existence of authorized but unissued Class A Ordinary Shares and Class B Ordinary Shares could render more difficult or discourage an attempt to obtain control of us by means of a proxy contest, tender offer, merger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Cayman Islands law to inspect or obtain copies of our list of shareholders or our corporate records (other than the memorandum and articles of association and any special resolutions passed by such companies, and the register of mortgages and charges of such companies). However, we will provide our shareholders with annual audited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 of Shareholders and Shareholder Proposals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general meetings may be held in such place within or outside the Cayman Islands as our Board of Directors considers appropriate.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obliged by the Companies Act (As Revised) of the Cayman Islands to call shareholders’ annual general meetings. The directors may, whenever they think fit, convene an extraordinary general meeting.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and any other general meetings of our shareholders may be convened by a majority of our Board of Directors. Our Board of Directors shall give not less than five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shares representing in aggregate not less than ten percent of the rights to vote at such general meeting to requisition an extraordinary general meeting of our shareholders, in which case our directors are obliged to call such meeting and to put the resolutions so requisitioned to a vote at such meeting; otherwise, our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Exempted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under the Companies Act (As Revised) of the Cayman Islands. The Companies Act (As Revised) of the Cayman Islands distinguishes between ordinary resident companies and exempted companies. A Cayman Islands exempted company: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a company that conducts its business mainly outside of the Cayman Islands;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exempted from certain requirements of the Companies Act (As Revised) of the Cayman Islands, including the filing an annual return of its shareholders with the Registrar of Companies;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make its register of members open for inspection;</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issue negotiable or bearer shares or shares with no par value (subject to the provisions of the Companies Act (As Revised) of the Cayman Islands);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20 years in the first instance);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 of Members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we must keep a register of members and there should be entered therein: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and addresses of the members, a statement of the shares held by each member, and of the amount paid or agreed to be considered as paid, on the shares of each member;</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member;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any person ceased to be a member.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Once our register of members has been updated, the shareholders recorded in the register of members are deemed to have legal title to the shares set against their name.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Amended and Restated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require us to indemnify our officers and directors for actions, proceedings, claims, losses, damages, costs, liabilities and expenses (“Indemnified Losses”) incurred in their capacities as such unless such Indemnified Losses arise from dishonesty of such directors or officers. This standard of conduct is generally the same as permitted under the Delaware General Corporation Law for a Delaware corporation.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Differences between U.S. Corporate Law and Cayman Islands Corporate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(As Revised) of the Cayman Islands is modeled after that of English law but does not follow many recent English law statutory enactments. In addition, the Companies Act (As Revised) of the Cayman Islands differs from laws applicable to United States corporations and their shareholders. Set forth below is a summary of the significant differences between the provisions of the Companies Act (As Revised) of the Cayman Islands applicable to us and the laws applicable to companies incorporated in the State of Delaware.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Mergers and Similar Arrangements</w:t>
      </w:r>
      <w:r>
        <w:rPr>
          <w:rFonts w:ascii="Times New Roman;Times;Serif" w:hAnsi="Times New Roman;Times;Serif"/>
          <w:b w:val="false"/>
          <w:i w:val="false"/>
          <w:caps w:val="false"/>
          <w:smallCaps w:val="false"/>
          <w:sz w:val="20"/>
        </w:rPr>
        <w:t>. A merger of two or more constituent companies under Cayman Islands law requires a plan of merger or consolidation to be approved by the directors of each constituent company and authorization by (a) a special resolution of the shareholders and (b) such other authorization, if any, as may be specified in such constituent company’s articles of association.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of that Cayman Islands subsidiary if a copy of the plan of merger is given to every member of that Cayman Islands subsidiary to be merged unless that member agrees otherwise. For this purpose a subsidiary is a company of which at least ninety percent (90%) of the issued shares entitled to vote are owned by the parent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the reconstruction and amalgamation of companies. Those provisions provide that if a majority in number representing 75% in value of the creditors or class of creditors (as the case may be) present and voting either in person or by proxy at the meeting, agree to any compromise or arrangement, the compromise or arrangement shall, if sanctioned by the Grand Court of the Cayman Islands, be binding on all the creditors or the class of creditors, as the case may be, and also on the company or, where a company is in the course of being wound up, on the liquidator and contributories of the company. Alternatively, if 75% in value of the members or class of members (as the case may be) present and voting either in person or by proxy at the meeting, agree to any compromise or arrangement, the compromise or arrangement shall, if sanctioned by the Grand Court of the Cayman Islands, be binding on all the members or the class of members, as the case may be, and also on the company or, where a company is in the course of being wound up, on the liquidator and contributories of the company.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statutory provisions as to the required majority vote have been met;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 (As Revised) of the Cayman Islands.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90.0%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90.0%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Shareholders’ Suits. </w:t>
      </w:r>
      <w:r>
        <w:rPr>
          <w:rFonts w:ascii="Times New Roman;Times;Serif" w:hAnsi="Times New Roman;Times;Serif"/>
          <w:b w:val="false"/>
          <w:i w:val="false"/>
          <w:caps w:val="false"/>
          <w:smallCaps w:val="false"/>
          <w:sz w:val="20"/>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acts or proposes to act illegally or ultra vires;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a simple majority vote that has not been obtained;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Cayman Islands law does not limit the extent to which a company’s Amended and Restated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 In addition, we have entered into indemnification agreements with our directors and executive officers that provide such persons with additional indemnification beyond that provided in the Memorandum and Articles of Association.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Directors’ Fiduciary Duties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or she owes the following duties to the company - a duty to act bona fide in the best interests of the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Shareholder Action by Written Consent</w:t>
      </w:r>
      <w:r>
        <w:rPr>
          <w:rFonts w:ascii="Times New Roman;Times;Serif" w:hAnsi="Times New Roman;Times;Serif"/>
          <w:b w:val="false"/>
          <w:i w:val="false"/>
          <w:caps w:val="false"/>
          <w:smallCaps w:val="false"/>
          <w:sz w:val="20"/>
        </w:rPr>
        <w:t>. Under the Delaware General Corporation Law, a corporation may eliminate the right of shareholders to act by written consent by amendment to its certificate of incorporation. Cayman Islands law and our current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Shareholder Proposals</w:t>
      </w:r>
      <w:r>
        <w:rPr>
          <w:rFonts w:ascii="Times New Roman;Times;Serif" w:hAnsi="Times New Roman;Times;Serif"/>
          <w:b w:val="false"/>
          <w:i w:val="false"/>
          <w:caps w:val="false"/>
          <w:smallCaps w:val="false"/>
          <w:sz w:val="20"/>
        </w:rPr>
        <w:t>.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provide shareholders any right to put proposals before a meeting or requisition a general meeting. However, these rights may be provided in articles of association. Our current articles of association allow our shareholders holding not less than one-third of all voting power of our share capital in issue to requisition a shareholder’s meeting. Other than this right to requisition a shareholders’ meeting, our Memorandum and Articles of Association do not provide our shareholders other right to put proposal before a meeting. As a Cayman Islands exempted company, we are not obliged by law to call shareholders’ annual general meetings.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Cumulative Voting. </w:t>
      </w: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the Memorandum and Articles of Association does not provide for cumulative voting. As a result, our shareholders are not afforded any less protections or rights on this issue than shareholders of a Delaware corporation.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Removal of Directors. </w:t>
      </w: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the Memorandum and Articles of Association, directors may be removed with or without cause, by an ordinary resolution of our shareholders.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Transactions with Interested Shareholders. </w:t>
      </w: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Dissolution; Winding up. </w:t>
      </w: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(As Revised) of the Cayman Islands and the Memorandum and Articles of Association, our company may be dissolved, liquidated or wound up by a special resolution of our shareholders.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Variation of Rights of Shares. </w:t>
      </w: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Cayman Islands law and the Memorandum and Articles of Association, if our share capital is divided into more than one class of shares, we may vary the rights attached to any class with the written consent of the holders of two-thirds of the issued shares of that class or with the sanction of a resolution passed by not less than two-thirds of such holders of the shares of that class as may be present at a general meeting of the holders of the shares of that class.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Amendment of Governing Documents. </w:t>
      </w: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As permitted by Cayman Islands law, our current Memorandum and Articles of Association may only be amended with a special resolution of our shareholders.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Rights of Non-resident or Foreign Shareholders. </w:t>
      </w:r>
      <w:r>
        <w:rPr>
          <w:rFonts w:ascii="Times New Roman;Times;Serif" w:hAnsi="Times New Roman;Times;Serif"/>
          <w:b w:val="false"/>
          <w:i w:val="false"/>
          <w:caps w:val="false"/>
          <w:smallCaps w:val="false"/>
          <w:sz w:val="20"/>
        </w:rPr>
        <w:t>There are no limitations imposed by our Memorandum and Articles of Association on the rights of non-resident or foreign shareholders to hold or exercise voting rights on our shares. In addition, there are no provisions in the Memorandum and Articles of Association governing the ownership threshold above which shareholder ownership must be disclosed.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 —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“Regulations”). Depending on the circumstances of each application, a detailed verification of identity might not be required where: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subscriber makes the payment for their investment from an account held in the subscriber’s name at a recognized financial institution; or</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subscriber is regulated by a recognized regulatory authority and is based or incorporated in, or formed under the law of, a recognized jurisdiction; or</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in the Cayman Islands — Privacy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explains the manner in which we collect, process, and maintain personal data about our investors pursuant to the Data Protection Act (Revised) of the Cayman Islands, as amended from time to time and any regulations, codes of practice, or orders promulgated pursuant thereto (the “DPA”).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processing personal data in accordance with the DPA. In our use of personal data, we will be characterized under the DPA as a “data controller,” whilst certain of our service providers, affiliates, and delegates may act as “data processors” under the DPA. These service providers may process personal information for their own lawful purposes in connection with services provided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privacy notice, “you” or “your” shall mean the subscriber and shall also include any individual connected to the subscriber.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virtue of your investment in our Company, we and certain of our service providers may collect, record, store, transfer, and otherwise process personal data by which individuals may be directly or indirectly identified. We may combine personal data that you provide to us with personal data that we collect from, or about you. This may include personal data collected in an online or offline context including from credit reference agencies and other available public databases or data sources, such as news outlines, websites and other media sources and international sanctions lists.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processed fairly and for lawful purposes, including (a) where the processing is necessary for us to perform a contract to which you are a party or for taking pre-contractual steps at your request, (b) where the processing is necessary for compliance with any legal, tax, or regulatory obligation to which we are subject, or (c) where the processing is for the purposes of legitimate interests pursued by us or by a service provider to whom the data are disclosed, or (d) where you otherwise consent to the processing of personal data for any other specific purpose. As a data controller, we will only use your personal data for the purposes for which we collected it. If we need to use your personal data for an unrelated purpose, we will contact you.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share your personal data with our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shall not be held by our Company for longer than necessary with regard to the purposes of the data processing.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our Company, this will be relevant for those individuals and you should transmit this document to those individuals for their awareness and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certain rights under the DPA, including (a) the right to be informed as to how we collect and use your personal data (and this privacy notice fulfils our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wish to provide us with requested personal data or subsequently withdraw your consent, you may not be able to invest in our Company or remain invested in our Company as it will affect our ability to manage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consider that your personal data has not been handled correctly, or you are not satisfied with our responses to any requests you have made regarding the use of your personal data, you have the right to complain to the Cayman Islands’ Ombudsman. The Ombudsman can be contacted by calling +1 (345) 946-6283 or by email at info@ombudsman.ky.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 Substance Legislation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together with several other non-European Union jurisdictions, have introduced legislation aimed at addressing concerns raised by the Council of the European Union as to offshore structures engaged in certain activities which attract profits without real economic activity. With effect from January 1, 2019, the International Tax Co-operation (Economic Substance) Act (Revised) (the “Substance Act”) came into force in the Cayman Islands in January 2019 introducing certain economic substance requirements for in-scope Cayman Islands entities which are engaged in certain “relevant activities.” An exempted company incorporated in the Cayman Islands as is our Company is an in-scope Cayman Islands entity; however, it does not include an entity that is tax resident outside the Cayman Islands. Based on the current interpretations of the Substance Act, our Company is a “pure equity holding company” and will therefore likely be subject to more limited substance requirements. However, as it is a relatively new regime, it is anticipated that the Substance Act will evolve and be subject to further clarification and amendments. Failure to satisfy applicable requirements may subject us to penalties under the Substance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all the current authorized share capital is designated as Ordinary Shares, shareholders’ special resolution will be needed to amend the Company’s M&amp;A to alter its authorized share capital if the Company decides to issue preferred shares and following such amendment to the Company’s M&amp;As, a copy must be filed with the Registrar of Companies of the Cayman Islands. After such resolution and amendment to the Company’s M&amp;As in accordance with and following filing amended and restated M&amp;As with the Registrar of Companies of the Cayman Islands, the Board is empowered to allot and/or issue (with or without rights of renunciation), grant options over, offer or otherwise deal with or dispose of any unissued shares of the Company (whether forming part of the original or any increased share capital), either at a premium or at par, with or without preferred, deferred or other special rights or restrictions, whether in regard to dividend, voting, return of capital or otherwise and to such persons, on such terms and conditions, and at such times as the Board may decide and they may allot or otherwise dispose of them to such persons (including any director of the Board) on such terms and conditions and at such time as the Board may determine.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to the prospectus supplement relating to the series of preferred shares being offered for the specific terms of that series, including:</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of the series and the number of shares in the series;</w:t>
            </w:r>
          </w:p>
        </w:tc>
      </w:tr>
    </w:tbl>
    <w:p>
      <w:pPr>
        <w:pStyle w:val="TextBody"/>
        <w:bidi w:val="0"/>
        <w:spacing w:before="0" w:after="0"/>
        <w:ind w:left="0" w:right="0" w:firstLine="72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at which the preferred shares will be offered;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rate or rates or method of calculating the rates, the dates on which the dividends will be payable, whether or not dividends will be cumulative or noncumulative and, if cumulative, the dates from which dividends on the preferred shares being offered will cumulate;</w:t>
            </w:r>
          </w:p>
        </w:tc>
      </w:tr>
    </w:tbl>
    <w:p>
      <w:pPr>
        <w:pStyle w:val="TextBody"/>
        <w:bidi w:val="0"/>
        <w:spacing w:before="0" w:after="0"/>
        <w:ind w:left="0" w:right="0" w:firstLine="72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voting rights, if any, of the holders of preferred shares being offered;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a sinking fund, if any, and the provisions for redemption, if applicable, of the preferred shares being offered, including any restrictions on the foregoing as a result of arrearage in the payment of dividends or sinking fund installments;</w:t>
            </w:r>
          </w:p>
        </w:tc>
      </w:tr>
    </w:tbl>
    <w:p>
      <w:pPr>
        <w:pStyle w:val="TextBody"/>
        <w:bidi w:val="0"/>
        <w:spacing w:before="0" w:after="0"/>
        <w:ind w:left="0" w:right="0" w:firstLine="72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70"/>
        <w:gridCol w:w="2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liquidation preference per share;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applicable, upon which the preferred shares being offered will be convertible into our Ordinary Shares, including the conversion price, or the manner of calculating the conversion price, and the conversion period;</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applicable, upon which the preferred shares being offered will be exchangeable for debt securities, including the exchange price, or the manner of calculating the exchange price, and the exchange period;</w:t>
            </w:r>
          </w:p>
        </w:tc>
      </w:tr>
    </w:tbl>
    <w:p>
      <w:pPr>
        <w:pStyle w:val="TextBody"/>
        <w:bidi w:val="0"/>
        <w:spacing w:before="0" w:after="0"/>
        <w:ind w:left="0" w:right="0" w:firstLine="72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listing of the preferred shares being offered on any securities exchange;</w:t>
            </w:r>
          </w:p>
        </w:tc>
      </w:tr>
    </w:tbl>
    <w:p>
      <w:pPr>
        <w:pStyle w:val="TextBody"/>
        <w:bidi w:val="0"/>
        <w:spacing w:before="0" w:after="0"/>
        <w:ind w:left="0" w:right="0" w:firstLine="72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federal income tax considerations applicable to the preferred shares being offered;</w:t>
            </w:r>
          </w:p>
        </w:tc>
      </w:tr>
    </w:tbl>
    <w:p>
      <w:pPr>
        <w:pStyle w:val="TextBody"/>
        <w:bidi w:val="0"/>
        <w:spacing w:before="0" w:after="0"/>
        <w:ind w:left="0" w:right="0" w:firstLine="72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170"/>
        <w:gridCol w:w="1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preemptive rights;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ranking and preferences of the preferred shares being offered as to dividend rights and rights upon liquidation, dissolution or the winding up of our affairs;</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limitations on the issuance of any class or series of preferred shares ranking senior or equal to the series of preferred shares being offered as to dividend rights and rights upon liquidation, dissolution or the winding up of our affairs; and</w:t>
            </w:r>
          </w:p>
        </w:tc>
      </w:tr>
    </w:tbl>
    <w:p>
      <w:pPr>
        <w:pStyle w:val="TextBody"/>
        <w:bidi w:val="0"/>
        <w:spacing w:before="0" w:after="0"/>
        <w:ind w:left="0" w:right="0" w:firstLine="72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170"/>
        <w:gridCol w:w="7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rights, preferences, qualifications, limitations and restrictions of the series.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issuance, the preferred shares will be fully paid and nonassessable, which means that its holders will have paid their purchase price in full and we may not require them to pay additional funds.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preferred share terms selected by the Board could decrease the amount of earnings and assets available for distribution to holders of our Ordinary Shares or adversely affect the rights and power, including voting rights, of the holders of our Ordinary Shares without any further vote or action by the stockholders. The rights of holders of our Ordinary Shares will be subject to, and may be adversely affected by, the rights of the holders of any preferred shares that may be issued by us in the future. The issuance of preferred shares could also have the effect of delaying or preventing a change in control of our company or make removal of management more difficult.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b_009"/>
      <w:bookmarkEnd w:id="22"/>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Debt securities issued under an indenture (which we refer to herein as an Indenture) will be entered into between us and a trustee to be named therein. It is likely that convertible debt securities will not be issued under an Indenture.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or forms of Indentures, if any, will be filed as exhibits to the registration statement of which this prospectus is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you read this section, please remember that for each series of debt securities, the specific terms of your debt security as described in the applicable prospectus supplement will supplement and, if applicable, may modify or replace the general terms described in the summary below. The statement we make in this section may not apply to your debt security.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 Under the Indenture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pay the principal or premium, if any, when due and payable at maturity, upon redemption or repurchase or otherwise;</w:t>
            </w:r>
          </w:p>
        </w:tc>
      </w:tr>
    </w:tbl>
    <w:p>
      <w:pPr>
        <w:pStyle w:val="TextBody"/>
        <w:bidi w:val="0"/>
        <w:spacing w:before="0" w:after="0"/>
        <w:ind w:left="0" w:right="0" w:firstLine="36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pay interest when due and payable and our failure continues for certain days;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observe or perform any other covenant contained in the Securities of a Series or in this Indenture, and our failure continues for certain days after we receive written notice from the trustee or holders of at least certain percentage in aggregate principal amount of the outstanding debt securities of the applicable series. The written notice must specify the Default, demand that it be remedied and state that the notice is a “Notice of Default”;</w:t>
            </w:r>
          </w:p>
        </w:tc>
      </w:tr>
    </w:tbl>
    <w:p>
      <w:pPr>
        <w:pStyle w:val="TextBody"/>
        <w:bidi w:val="0"/>
        <w:spacing w:before="0" w:after="0"/>
        <w:ind w:left="0" w:right="0" w:firstLine="36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170"/>
        <w:gridCol w:w="6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specified events of bankruptcy, insolvency or reorganization occur;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any other event of default provided with respect to securities of that series, which is specified in a Board Resolution, a supplemental indenture hereto or an Officers’ Certificate as defined in the Form of Indenture.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covenant in the Form of Indenture to deliver a certificate to the trustee annually, within certain days after the close of the fiscal year, to show that we are in compliance with the terms of the indenture and that we have not defaulted under the indenture.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Nonetheless, if we issue debt securities, the terms of the debt securities and the final form of indenture will be provided in a prospectus supplement. Please refer to the prospectus supplement and the form of indenture attached thereto for the terms and conditions of the offered debt securities. The terms and conditions may or may not include whether or not we must furnish periodic evidence showing that an event of default does not exist or that we are in compliance with the terms of the indenture.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any amendments or supplements we may enter into from time to time which are permitted under each Indenture) and the debt securities, including the definitions therein of certain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prospectus supplement, the debt securities will be direct secured or unsecured obligations of our company. The senior debt securities will rank equally with any of our other unsecured senior and unsubordinated debt. The subordinated debt securities will be subordinate and junior in right of payment to any senior indebtedness.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senior indebtedness issued under an Indenture.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will describe the terms relating to the specific series of debt securities being offered. These terms will include some or all of the following:</w:t>
      </w:r>
    </w:p>
    <w:p>
      <w:pPr>
        <w:pStyle w:val="TextBody"/>
        <w:bidi w:val="0"/>
        <w:spacing w:before="0" w:after="0"/>
        <w:ind w:left="0" w:right="0" w:firstLine="360"/>
        <w:jc w:val="both"/>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170"/>
        <w:gridCol w:w="8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debt securities and whether they are subordinated, senior subordinated or senior debt securities;</w:t>
            </w:r>
          </w:p>
        </w:tc>
      </w:tr>
    </w:tbl>
    <w:p>
      <w:pPr>
        <w:pStyle w:val="TextBody"/>
        <w:bidi w:val="0"/>
        <w:spacing w:before="0" w:after="0"/>
        <w:ind w:left="0" w:right="0" w:firstLine="36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aggregate principal amount of debt securities of such series;</w:t>
            </w:r>
          </w:p>
        </w:tc>
      </w:tr>
    </w:tbl>
    <w:p>
      <w:pPr>
        <w:pStyle w:val="TextBody"/>
        <w:bidi w:val="0"/>
        <w:spacing w:before="0" w:after="0"/>
        <w:ind w:left="0" w:right="0" w:firstLine="36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the principal amount at which the debt securities of any series will be issued;</w:t>
            </w:r>
          </w:p>
        </w:tc>
      </w:tr>
    </w:tbl>
    <w:p>
      <w:pPr>
        <w:pStyle w:val="TextBody"/>
        <w:bidi w:val="0"/>
        <w:spacing w:before="0" w:after="0"/>
        <w:ind w:left="0" w:right="0" w:firstLine="36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issue additional debt securities of the same series;</w:t>
            </w:r>
          </w:p>
        </w:tc>
      </w:tr>
    </w:tbl>
    <w:p>
      <w:pPr>
        <w:pStyle w:val="TextBody"/>
        <w:bidi w:val="0"/>
        <w:spacing w:before="0" w:after="0"/>
        <w:ind w:left="0" w:right="0" w:firstLine="36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for the debt securities and the denominations of the debt securities;</w:t>
            </w:r>
          </w:p>
        </w:tc>
      </w:tr>
    </w:tbl>
    <w:p>
      <w:pPr>
        <w:pStyle w:val="TextBody"/>
        <w:bidi w:val="0"/>
        <w:spacing w:before="0" w:after="0"/>
        <w:ind w:left="0" w:right="0" w:firstLine="36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specific designation of the series of debt securities being offered;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tc>
      </w:tr>
    </w:tbl>
    <w:p>
      <w:pPr>
        <w:pStyle w:val="TextBody"/>
        <w:bidi w:val="0"/>
        <w:spacing w:before="0" w:after="0"/>
        <w:ind w:left="0" w:right="0" w:firstLine="36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basis for calculating interest if other than 360-day year or twelve 30-day months;</w:t>
            </w:r>
          </w:p>
        </w:tc>
      </w:tr>
    </w:tbl>
    <w:p>
      <w:pPr>
        <w:pStyle w:val="TextBody"/>
        <w:bidi w:val="0"/>
        <w:spacing w:before="0" w:after="0"/>
        <w:ind w:left="0" w:right="0" w:firstLine="36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from which any interest will accrue or the method by which such date or dates will be determined;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duration of any deferral period, including the maximum consecutive period during which interest payment periods may be extended;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dates on which we will pay interest on the debt securities and the regular record date for determining who is entitled to the interest payable on any interest payment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tc>
      </w:tr>
    </w:tbl>
    <w:p>
      <w:pPr>
        <w:pStyle w:val="TextBody"/>
        <w:bidi w:val="0"/>
        <w:spacing w:before="0" w:after="0"/>
        <w:ind w:left="0" w:right="0" w:firstLine="36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170"/>
        <w:gridCol w:w="4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rate or rates of amortization of the debt securities;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possess the option to do so, the periods within which and the prices at which we may redeem the debt securities, in whole or in part, pursuant to optional redemption provisions, and the other terms and conditions of any such provisions;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tc>
      </w:tr>
    </w:tbl>
    <w:p>
      <w:pPr>
        <w:pStyle w:val="TextBody"/>
        <w:bidi w:val="0"/>
        <w:spacing w:before="0" w:after="0"/>
        <w:ind w:left="0" w:right="0" w:firstLine="36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any, regarding the option or mandatory conversion or exchange of debt securities;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restriction or condition on the transferability of the debt securities of a particular series;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or methods of determining the portion, of the principal amount of the debt securities which we must pay upon the acceleration of the maturity of the debt securities in connection with any event of default if other than the full principal amount;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tc>
      </w:tr>
    </w:tbl>
    <w:p>
      <w:pPr>
        <w:pStyle w:val="TextBody"/>
        <w:bidi w:val="0"/>
        <w:spacing w:before="0" w:after="0"/>
        <w:ind w:left="0" w:right="0" w:firstLine="36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if any, granting special rights to holders of the debt securities upon the occurrence of specified events;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tc>
      </w:tr>
    </w:tbl>
    <w:p>
      <w:pPr>
        <w:pStyle w:val="TextBody"/>
        <w:bidi w:val="0"/>
        <w:spacing w:before="0" w:after="0"/>
        <w:ind w:left="0" w:right="0" w:firstLine="36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170"/>
        <w:gridCol w:w="7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 on our ability to incur debt, redeem stock, sell our assets or other restrictions;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application, if any, of the terms of the applicable Indenture relating to defeasance and covenant defeasance (which terms are described below) to the debt securities;</w:t>
            </w:r>
          </w:p>
        </w:tc>
      </w:tr>
    </w:tbl>
    <w:p>
      <w:pPr>
        <w:pStyle w:val="TextBody"/>
        <w:bidi w:val="0"/>
        <w:spacing w:before="0" w:after="0"/>
        <w:ind w:left="0" w:right="0" w:firstLine="36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what subordination provisions will apply to the debt securities;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if any, upon which the holders may convert or exchange the debt securities into or for our Ordinary Shares, preferred shares or other securities or property;</w:t>
            </w:r>
          </w:p>
        </w:tc>
      </w:tr>
    </w:tbl>
    <w:p>
      <w:pPr>
        <w:pStyle w:val="TextBody"/>
        <w:bidi w:val="0"/>
        <w:spacing w:before="0" w:after="0"/>
        <w:ind w:left="0" w:right="0" w:firstLine="36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we are issuing the debt securities in whole or in part in global form;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change in the right of the trustee or the requisite holders of debt securities to declare the principal amount thereof due and payable because of an event of default;</w:t>
            </w:r>
          </w:p>
        </w:tc>
      </w:tr>
    </w:tbl>
    <w:p>
      <w:pPr>
        <w:pStyle w:val="TextBody"/>
        <w:bidi w:val="0"/>
        <w:spacing w:before="0" w:after="0"/>
        <w:ind w:left="0" w:right="0" w:firstLine="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depositary for global or certificated debt securities,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material federal income tax consequences applicable to the debt securities, including any debt securities denominated and made payable, as described in the prospectus supplements, in foreign currencies, or units based on or related to foreign currencies;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right we may have to satisfy, discharge and defease our obligations under the debt securities, or terminate or eliminate restrictive covenants or events of default in the Indentures, by depositing money or U.S. government obligations with the trustee of the Indentures;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any trustees, depositories, authenticating or paying agents, transfer agents or registrars or other agents with respect to the debt securities;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 if other than in the manner provided in the applicable Indenture;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the principal amount of any debt securities which shall be payable upon declaration of acceleration of the maturity of the debt securities pursuant to the applicable Indenture if other than the entire principal amount;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of the debt securities, including any modifications to the events of default under the debt securities and any other terms which may be required by or advisable under applicable laws or regulations.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debt securities will not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b_020"/>
      <w:bookmarkEnd w:id="23"/>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Class A Ordinary Shares, debt securities or any combination thereof. Warrants may be issued independently or together with any other securities that may be sold by us pursuant to this prospectus or any combination of the foregoing and may be attached to, or separate from, such securities. To the extent warrants that we issue are to be publicly-traded, each series of such warrants will be issued under a separate warrant agreement to be entered into between us and a warrant agent. While the terms we have summarized below will apply generally to any warrants that we may offer under this prospectus, we will describe in particular the terms of any series of warrants that we may offer in more detail in the applicable prospectus supplement and any applicable free writing prospectus. The terms of any warrants offered under a prospectus supplement may differ from the terms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another report that we file with the SEC, the form of the warrant and/or warrant agreement, if any, which may include a form of warrant certificate, as applicable that describes the terms of the particular series of warrants we may offer before the issuance of the related series of warrants. We may issue the warrants under a warrant agreement that we will enter into with a warrant agent to be selected by us. The warrant agent will act solely as our agent in connection with the warrants and will not assume any obligation or relationship of agency or trust for or with any registered holders of warrants or beneficial owners of warrants. The following summary of material provisions of the warrants and warrant agreements is subject to, and qualified in its entirety by reference to, all the provisions of the form of warrant and/or warrant agreement and warrant certificate applicable to a particular series of warrants. We urge you to read the applicable prospectus supplement and any related free writing prospectus, as well as the complete form of warrant and/or the warrant agreement and warrant certificate, as applicable, that contain the terms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issue of warrants will be described in the prospectus supplement relating to the issue. Those terms may include:</w:t>
      </w:r>
    </w:p>
    <w:p>
      <w:pPr>
        <w:pStyle w:val="TextBody"/>
        <w:bidi w:val="0"/>
        <w:spacing w:before="0" w:after="0"/>
        <w:ind w:left="0" w:right="0" w:firstLine="36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170"/>
        <w:gridCol w:w="1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warrants;</w:t>
            </w:r>
          </w:p>
        </w:tc>
      </w:tr>
    </w:tbl>
    <w:p>
      <w:pPr>
        <w:pStyle w:val="TextBody"/>
        <w:bidi w:val="0"/>
        <w:spacing w:before="0" w:after="0"/>
        <w:ind w:left="0" w:right="0" w:firstLine="36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warrants will be issued;</w:t>
            </w:r>
          </w:p>
        </w:tc>
      </w:tr>
    </w:tbl>
    <w:p>
      <w:pPr>
        <w:pStyle w:val="TextBody"/>
        <w:bidi w:val="0"/>
        <w:spacing w:before="0" w:after="0"/>
        <w:ind w:left="0" w:right="0" w:firstLine="36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amount and terms of the securities or other rights for which the warrants are exercisable;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other securities, if any, with which the warrants are to be issued and the number of warrants issued with each other security;</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warrants;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adjustment of the number or amount of securities receivable upon exercise of the warrants or the exercise price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securities or other rights purchasable upon exercise of the warrants may be purchased;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the warrants and the securities or other rights purchasable upon exercise of the warrants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U.S. federal income tax considerations applicable to the exercise of the warrants;</w:t>
            </w:r>
          </w:p>
        </w:tc>
      </w:tr>
    </w:tbl>
    <w:p>
      <w:pPr>
        <w:pStyle w:val="TextBody"/>
        <w:bidi w:val="0"/>
        <w:spacing w:before="0" w:after="0"/>
        <w:ind w:left="0" w:right="0" w:firstLine="36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warrants will commence, and the date on which the right will expire;</w:t>
            </w:r>
          </w:p>
        </w:tc>
      </w:tr>
    </w:tbl>
    <w:p>
      <w:pPr>
        <w:pStyle w:val="TextBody"/>
        <w:bidi w:val="0"/>
        <w:spacing w:before="0" w:after="0"/>
        <w:ind w:left="0" w:right="0" w:hanging="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maximum or minimum number of warrants that may be exercised at any time;</w:t>
            </w:r>
          </w:p>
        </w:tc>
      </w:tr>
    </w:tbl>
    <w:p>
      <w:pPr>
        <w:pStyle w:val="TextBody"/>
        <w:bidi w:val="0"/>
        <w:spacing w:before="0" w:after="0"/>
        <w:ind w:left="0" w:right="0" w:firstLine="36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warrants, including terms, procedures and limitations relating to the exchange and exercise of the warrants.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of warrants to purchase the number of Class A Ordinary Shares, preferred shares or debt securities of the relevant class or series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 If we so indicate in the applicable prospectus supplement, holders of the warrants may surrender securities as all or part of the exercise price for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any warrants to purchase Class A Ordinary Shares of the relevant class or series, holders of the warrants will not have any of the rights of holders of Class A Ordinary Shares purchasable upon exercise, including the right to vote or to receive any payments of dividends or payments upon our liquidation, dissolution or winding up on the Class A Ordinary Shares purchasable upon exercise, if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b_010"/>
      <w:bookmarkEnd w:id="24"/>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and any related free writing prospectus.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another report we file with the SEC, the form of unit agreement that describes the terms of the series of units we may offer under this prospectus,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and any related free writing prospectus, as well as the complete unit agreement and any supplemental agreements that contain the terms of the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any units, certain terms of that series of units will be described in the applicable prospectus supplement, including, without limitation, the following, as applicable</w:t>
      </w:r>
    </w:p>
    <w:p>
      <w:pPr>
        <w:pStyle w:val="TextBody"/>
        <w:bidi w:val="0"/>
        <w:spacing w:before="0" w:after="0"/>
        <w:ind w:left="0" w:right="0" w:firstLine="36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series of units;</w:t>
            </w:r>
          </w:p>
        </w:tc>
      </w:tr>
    </w:tbl>
    <w:p>
      <w:pPr>
        <w:pStyle w:val="TextBody"/>
        <w:bidi w:val="0"/>
        <w:spacing w:before="0" w:after="0"/>
        <w:ind w:left="0" w:right="0" w:firstLine="72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and description of the separate constituent securities comprising the units;</w:t>
            </w:r>
          </w:p>
        </w:tc>
      </w:tr>
    </w:tbl>
    <w:p>
      <w:pPr>
        <w:pStyle w:val="TextBody"/>
        <w:bidi w:val="0"/>
        <w:spacing w:before="0" w:after="0"/>
        <w:ind w:left="0" w:right="0" w:firstLine="72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70"/>
        <w:gridCol w:w="41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units will be issued;</w:t>
            </w:r>
          </w:p>
        </w:tc>
      </w:tr>
    </w:tbl>
    <w:p>
      <w:pPr>
        <w:pStyle w:val="TextBody"/>
        <w:bidi w:val="0"/>
        <w:spacing w:before="0" w:after="0"/>
        <w:ind w:left="0" w:right="0" w:firstLine="72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170"/>
        <w:gridCol w:w="9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and after which the constituent securities comprising the units will be separately transferable;</w:t>
            </w:r>
          </w:p>
        </w:tc>
      </w:tr>
    </w:tbl>
    <w:p>
      <w:pPr>
        <w:pStyle w:val="TextBody"/>
        <w:bidi w:val="0"/>
        <w:spacing w:before="0" w:after="0"/>
        <w:ind w:left="0" w:right="0" w:firstLine="72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certain United States federal income tax considerations applicable to the units; and</w:t>
            </w:r>
          </w:p>
        </w:tc>
      </w:tr>
    </w:tbl>
    <w:p>
      <w:pPr>
        <w:pStyle w:val="TextBody"/>
        <w:bidi w:val="0"/>
        <w:spacing w:before="0" w:after="0"/>
        <w:ind w:left="0" w:right="0" w:firstLine="72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material terms of the units and their constituent securities.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Share Capital - Ordinary Shares and Preferred Shares” and “Description of Warrants” will apply to each unit and to any Ordinary Share, preferred share or warrant included in each unit,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b_011"/>
      <w:bookmarkEnd w:id="25"/>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firstLine="36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determining the security holders entitled to the rights distribution;</w:t>
            </w:r>
          </w:p>
        </w:tc>
      </w:tr>
    </w:tbl>
    <w:p>
      <w:pPr>
        <w:pStyle w:val="TextBody"/>
        <w:bidi w:val="0"/>
        <w:spacing w:before="0" w:after="0"/>
        <w:ind w:left="0" w:right="0" w:firstLine="72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rights issued and the aggregate amount of securities purchasable upon exercise of the rights;</w:t>
            </w:r>
          </w:p>
        </w:tc>
      </w:tr>
    </w:tbl>
    <w:p>
      <w:pPr>
        <w:pStyle w:val="TextBody"/>
        <w:bidi w:val="0"/>
        <w:spacing w:before="0" w:after="0"/>
        <w:ind w:left="0" w:right="0" w:firstLine="72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bl>
    <w:p>
      <w:pPr>
        <w:pStyle w:val="TextBody"/>
        <w:bidi w:val="0"/>
        <w:spacing w:before="0" w:after="0"/>
        <w:ind w:left="0" w:right="0" w:firstLine="72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conditions to completion of the rights offering;</w:t>
            </w:r>
          </w:p>
        </w:tc>
      </w:tr>
    </w:tbl>
    <w:p>
      <w:pPr>
        <w:pStyle w:val="TextBody"/>
        <w:bidi w:val="0"/>
        <w:spacing w:before="0" w:after="0"/>
        <w:ind w:left="0" w:right="0" w:firstLine="72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rights will expire; and</w:t>
            </w:r>
          </w:p>
        </w:tc>
      </w:tr>
    </w:tbl>
    <w:p>
      <w:pPr>
        <w:pStyle w:val="TextBody"/>
        <w:bidi w:val="0"/>
        <w:spacing w:before="0" w:after="0"/>
        <w:ind w:left="0" w:right="0" w:firstLine="72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170"/>
        <w:gridCol w:w="40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federal income tax considerations.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transfer agent and registrar is Transhare Corporation, with its office located at 2849 Executive Drive, Suite 200, Clearwater, FL 33762.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Listing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“HAO.”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b_012"/>
      <w:bookmarkEnd w:id="2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(i) to or through underwriters or dealers, (ii) directly to purchasers, including our affiliates, (iii) through agents, or (iv)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firstLine="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offering;</w:t>
            </w:r>
          </w:p>
        </w:tc>
      </w:tr>
    </w:tbl>
    <w:p>
      <w:pPr>
        <w:pStyle w:val="TextBody"/>
        <w:bidi w:val="0"/>
        <w:spacing w:before="0" w:after="0"/>
        <w:ind w:left="0" w:right="0" w:firstLine="36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any underwriters or agents;</w:t>
            </w:r>
          </w:p>
        </w:tc>
      </w:tr>
    </w:tbl>
    <w:p>
      <w:pPr>
        <w:pStyle w:val="TextBody"/>
        <w:bidi w:val="0"/>
        <w:spacing w:before="0" w:after="0"/>
        <w:ind w:left="0" w:right="0" w:firstLine="36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or names of any managing underwriter or underwriters;</w:t>
            </w:r>
          </w:p>
        </w:tc>
      </w:tr>
    </w:tbl>
    <w:p>
      <w:pPr>
        <w:pStyle w:val="TextBody"/>
        <w:bidi w:val="0"/>
        <w:spacing w:before="0" w:after="0"/>
        <w:ind w:left="0" w:right="0" w:firstLine="36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of the securities;</w:t>
            </w:r>
          </w:p>
        </w:tc>
      </w:tr>
    </w:tbl>
    <w:p>
      <w:pPr>
        <w:pStyle w:val="TextBody"/>
        <w:bidi w:val="0"/>
        <w:spacing w:before="0" w:after="0"/>
        <w:ind w:left="0" w:right="0" w:firstLine="36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over-allotment options under which underwriters may purchase additional securities from us;</w:t>
            </w:r>
          </w:p>
        </w:tc>
      </w:tr>
    </w:tbl>
    <w:p>
      <w:pPr>
        <w:pStyle w:val="TextBody"/>
        <w:bidi w:val="0"/>
        <w:spacing w:before="0" w:after="0"/>
        <w:ind w:left="0" w:right="0" w:firstLine="36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proceeds from the sale of the securities;</w:t>
            </w:r>
          </w:p>
        </w:tc>
      </w:tr>
    </w:tbl>
    <w:p>
      <w:pPr>
        <w:pStyle w:val="TextBody"/>
        <w:bidi w:val="0"/>
        <w:spacing w:before="0" w:after="0"/>
        <w:ind w:left="0" w:right="0" w:firstLine="36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delayed delivery arrangements;</w:t>
            </w:r>
          </w:p>
        </w:tc>
      </w:tr>
    </w:tbl>
    <w:p>
      <w:pPr>
        <w:pStyle w:val="TextBody"/>
        <w:bidi w:val="0"/>
        <w:spacing w:before="0" w:after="0"/>
        <w:ind w:left="0" w:right="0" w:firstLine="36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underwriting discounts, commissions and other items constituting underwriters’ compensation;</w:t>
            </w:r>
          </w:p>
        </w:tc>
      </w:tr>
    </w:tbl>
    <w:p>
      <w:pPr>
        <w:pStyle w:val="TextBody"/>
        <w:bidi w:val="0"/>
        <w:spacing w:before="0" w:after="0"/>
        <w:ind w:left="0" w:right="0" w:firstLine="36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initial public offering price;</w:t>
            </w:r>
          </w:p>
        </w:tc>
      </w:tr>
    </w:tbl>
    <w:p>
      <w:pPr>
        <w:pStyle w:val="TextBody"/>
        <w:bidi w:val="0"/>
        <w:spacing w:before="0" w:after="0"/>
        <w:ind w:left="0" w:right="0" w:firstLine="36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170"/>
        <w:gridCol w:w="5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or concessions allowed or reallowed or paid to dealers;</w:t>
            </w:r>
          </w:p>
        </w:tc>
      </w:tr>
    </w:tbl>
    <w:p>
      <w:pPr>
        <w:pStyle w:val="TextBody"/>
        <w:bidi w:val="0"/>
        <w:spacing w:before="0" w:after="0"/>
        <w:ind w:left="0" w:right="0" w:firstLine="36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commissions paid to agents; and</w:t>
            </w:r>
          </w:p>
        </w:tc>
      </w:tr>
    </w:tbl>
    <w:p>
      <w:pPr>
        <w:pStyle w:val="TextBody"/>
        <w:bidi w:val="0"/>
        <w:spacing w:before="0" w:after="0"/>
        <w:ind w:left="0" w:right="0" w:firstLine="36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securities exchange or market on which the securities may be listed.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Ordinary Shares,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b_013"/>
      <w:bookmarkEnd w:id="27"/>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the applicable prospectus supplement, certain legal matters in connection with the securities offered pursuant to this prospectus will be passed upon for us by Hunter Taubman Fischer &amp; Li LLC to the extent governed by the U.S. federal securities laws and the laws of the State of New York, by Ogier to the extent governed by the laws of the Cayman Islands, and by Sino Pro Law Firm to the extent governed by the laws of P.R. China.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b_014"/>
      <w:bookmarkEnd w:id="28"/>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as of June 30, 2024 and 2023, and for each year of the three years period ended June 30, 2024, 2023 and 2022 have been audited by Wei, Wei &amp; Co., LLP, an independent registered public accounting firm, as set forth in their reports thereon, and are incorporated herein by reference. Such consolidated financial statements are incorporated herein by reference, and are included in reliance upon such audit reports given on the authority of such firm as experts in accounting and auditing. The office of Wei, Wei &amp; Co., LLP is located at 133-10, 39th Avenue, Flushing, New York 11354.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b_015"/>
      <w:bookmarkEnd w:id="29"/>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for the fiscal years ended June 30, 2024, 2023 and 2022 are included in our 2024 Annual Report, filed on October 29, 2024, and are incorporated by reference into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b_016"/>
      <w:bookmarkEnd w:id="30"/>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 that we have filed with the SEC under the Exchange Act: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8" w:type="dxa"/>
            <w:tcBorders/>
            <w:vAlign w:val="center"/>
          </w:tcPr>
          <w:p>
            <w:pPr>
              <w:pStyle w:val="TableContents"/>
              <w:bidi w:val="0"/>
              <w:spacing w:before="0" w:after="283"/>
              <w:jc w:val="both"/>
              <w:rPr/>
            </w:pPr>
            <w:r>
              <w:rPr>
                <w:rFonts w:ascii="Times New Roman;Times;Serif" w:hAnsi="Times New Roman;Times;Serif"/>
                <w:sz w:val="20"/>
              </w:rPr>
              <w:t xml:space="preserve">the Company’s Annual Report on </w:t>
            </w:r>
            <w:hyperlink r:id="rId22">
              <w:r>
                <w:rPr>
                  <w:rStyle w:val="InternetLink"/>
                  <w:rFonts w:ascii="Times New Roman;Times;Serif" w:hAnsi="Times New Roman;Times;Serif"/>
                  <w:sz w:val="20"/>
                </w:rPr>
                <w:t>Form 20-F</w:t>
              </w:r>
            </w:hyperlink>
            <w:r>
              <w:rPr>
                <w:rFonts w:ascii="Times New Roman;Times;Serif" w:hAnsi="Times New Roman;Times;Serif"/>
                <w:sz w:val="20"/>
              </w:rPr>
              <w:t>, for the fiscal year ended June 30, 2024, filed with the SEC on October 29, 2024;</w:t>
            </w:r>
          </w:p>
        </w:tc>
      </w:tr>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90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8" w:type="dxa"/>
            <w:tcBorders/>
            <w:vAlign w:val="center"/>
          </w:tcPr>
          <w:p>
            <w:pPr>
              <w:pStyle w:val="TableContents"/>
              <w:bidi w:val="0"/>
              <w:spacing w:before="0" w:after="283"/>
              <w:jc w:val="both"/>
              <w:rPr/>
            </w:pPr>
            <w:r>
              <w:rPr>
                <w:rFonts w:ascii="Times New Roman;Times;Serif" w:hAnsi="Times New Roman;Times;Serif"/>
                <w:sz w:val="20"/>
              </w:rPr>
              <w:t xml:space="preserve">the Company’s Current Reports on Form 6-K, filed with the SEC on </w:t>
            </w:r>
            <w:hyperlink r:id="rId23">
              <w:r>
                <w:rPr>
                  <w:rStyle w:val="InternetLink"/>
                  <w:rFonts w:ascii="Times New Roman;Times;Serif" w:hAnsi="Times New Roman;Times;Serif"/>
                  <w:sz w:val="20"/>
                </w:rPr>
                <w:t>November 6, 2024</w:t>
              </w:r>
            </w:hyperlink>
            <w:r>
              <w:rPr>
                <w:rFonts w:ascii="Times New Roman;Times;Serif" w:hAnsi="Times New Roman;Times;Serif"/>
                <w:sz w:val="20"/>
              </w:rPr>
              <w:t xml:space="preserve">, </w:t>
            </w:r>
            <w:hyperlink r:id="rId24">
              <w:r>
                <w:rPr>
                  <w:rStyle w:val="InternetLink"/>
                  <w:rFonts w:ascii="Times New Roman;Times;Serif" w:hAnsi="Times New Roman;Times;Serif"/>
                  <w:sz w:val="20"/>
                </w:rPr>
                <w:t>November 27, 2024</w:t>
              </w:r>
            </w:hyperlink>
            <w:r>
              <w:rPr>
                <w:rFonts w:ascii="Times New Roman;Times;Serif" w:hAnsi="Times New Roman;Times;Serif"/>
                <w:sz w:val="20"/>
              </w:rPr>
              <w:t xml:space="preserve">, </w:t>
            </w:r>
            <w:hyperlink r:id="rId25">
              <w:r>
                <w:rPr>
                  <w:rStyle w:val="InternetLink"/>
                  <w:rFonts w:ascii="Times New Roman;Times;Serif" w:hAnsi="Times New Roman;Times;Serif"/>
                  <w:sz w:val="20"/>
                </w:rPr>
                <w:t>December 19, 2024</w:t>
              </w:r>
            </w:hyperlink>
            <w:r>
              <w:rPr>
                <w:rFonts w:ascii="Times New Roman;Times;Serif" w:hAnsi="Times New Roman;Times;Serif"/>
                <w:sz w:val="20"/>
              </w:rPr>
              <w:t xml:space="preserve">, </w:t>
            </w:r>
            <w:hyperlink r:id="rId26">
              <w:r>
                <w:rPr>
                  <w:rStyle w:val="InternetLink"/>
                  <w:rFonts w:ascii="Times New Roman;Times;Serif" w:hAnsi="Times New Roman;Times;Serif"/>
                  <w:sz w:val="20"/>
                </w:rPr>
                <w:t>January 14, 2025</w:t>
              </w:r>
            </w:hyperlink>
            <w:r>
              <w:rPr>
                <w:rFonts w:ascii="Times New Roman;Times;Serif" w:hAnsi="Times New Roman;Times;Serif"/>
                <w:sz w:val="20"/>
              </w:rPr>
              <w:t xml:space="preserve">, </w:t>
            </w:r>
            <w:hyperlink r:id="rId27">
              <w:r>
                <w:rPr>
                  <w:rStyle w:val="InternetLink"/>
                  <w:rFonts w:ascii="Times New Roman;Times;Serif" w:hAnsi="Times New Roman;Times;Serif"/>
                  <w:sz w:val="20"/>
                </w:rPr>
                <w:t>April 14, 2025</w:t>
              </w:r>
            </w:hyperlink>
            <w:r>
              <w:rPr/>
              <w:t xml:space="preserve"> </w:t>
            </w:r>
            <w:r>
              <w:rPr>
                <w:rFonts w:ascii="Times New Roman;Times;Serif" w:hAnsi="Times New Roman;Times;Serif"/>
                <w:sz w:val="20"/>
              </w:rPr>
              <w:t xml:space="preserve">and </w:t>
            </w:r>
            <w:hyperlink r:id="rId28">
              <w:r>
                <w:rPr>
                  <w:rStyle w:val="InternetLink"/>
                  <w:rFonts w:ascii="Times New Roman;Times;Serif" w:hAnsi="Times New Roman;Times;Serif"/>
                  <w:sz w:val="20"/>
                </w:rPr>
                <w:t>April 23, 2025</w:t>
              </w:r>
            </w:hyperlink>
            <w:r>
              <w:rPr>
                <w:rFonts w:ascii="Times New Roman;Times;Serif" w:hAnsi="Times New Roman;Times;Serif"/>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3"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Ordinary Shares incorporated by reference in our registration statement on </w:t>
            </w:r>
            <w:hyperlink r:id="rId29">
              <w:r>
                <w:rPr>
                  <w:rStyle w:val="InternetLink"/>
                  <w:rFonts w:ascii="Times New Roman;Times;Serif" w:hAnsi="Times New Roman;Times;Serif"/>
                  <w:sz w:val="20"/>
                </w:rPr>
                <w:t>Form F-1</w:t>
              </w:r>
            </w:hyperlink>
            <w:r>
              <w:rPr>
                <w:rFonts w:ascii="Times New Roman;Times;Serif" w:hAnsi="Times New Roman;Times;Serif"/>
                <w:sz w:val="20"/>
              </w:rPr>
              <w:t>, as amended (File No. 333-280174) originally filed with the Commission on June 13, 2024, including any amendment and report subsequently filed for the purpose of updating that description.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we file with the SEC pursuant to Section 13(a), 13(c), 14 or 15(d) of the Exchange Act (and in the case of a Current Report on Form 6-K, so long as they state that they are incorporated by reference into this prospectus, and other than Current Reports on Form 6-K, or portions thereof, furnished under Form 6-K) (i) after the initial filing date of the registration statement of which this prospectus forms a part and prior to the effectiveness of such registration statement and (ii) after the date of this prospectus and prior to the termination of the offering shall be deemed to be incorporated by reference in this prospectus from the date of filing of the documents, unless we specifically provide otherwise. Information that we file with the SEC will automatically update and may replace information previously filed with the SEC. To the extent that any information contained in any Current Report on Form 6-K or any exhibit thereto, was or is furnished to, rather than filed with the SEC, such information or exhibit is specifically not incorporated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we will provide, without charge, to each person who receives this prospectus, a copy of any or all of the documents incorporated by reference (other than exhibits to the documents that are not specifically incorporated by reference in the documents). Please direct written or oral requests for copies to us at Room 801, Tower C, Floor 8, Building 103, Huizhongli, Chaoyang District, Beijing, China, Attn: Zhen Fan, Tel: +86-10-13311587976.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b_017"/>
      <w:bookmarkEnd w:id="31"/>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reporting requirements of the Exchange Act that are applicable to foreign private issuers, and, in accordance with these requirements, we file annual and current reports and other information with the SEC. You may inspect, read (without charge) and copy the reports and other information we file with the SEC at the SEC’s Public Reference Room located at 100 F Street, N.E., Washington, D.C. 20549. You may obtain information on the operation of the Public Reference Room by calling the SEC at 1-800-SEC-0330. The SEC also maintains an internet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that contains our filed reports and other information that we file electronically with the SEC.</w:t>
      </w:r>
    </w:p>
    <w:p>
      <w:pPr>
        <w:pStyle w:val="TextBody"/>
        <w:bidi w:val="0"/>
        <w:spacing w:before="0" w:after="0"/>
        <w:ind w:left="0" w:right="0" w:firstLine="6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b_018"/>
      <w:bookmarkEnd w:id="32"/>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limited by shares and our affairs are governed by our amended and restated memorandum and articles of association and the Cayman Companies Act, and the common law of the Cayman Islands. We are incorporated under the laws of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The Cayman Islands, however, has a less developed body of securities laws as compared to the United States and provides significantly less protection for investors than the United States. Additionally, Cayman Islands companies may not have standing to sue in the Federal courts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in China. In addition, all of our directors and officers are nationals or residents of China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Ogier, our counsel as to Cayman Islands law, there is uncertainty as to whether the courts of the Cayman Islands would:</w:t>
      </w:r>
    </w:p>
    <w:p>
      <w:pPr>
        <w:pStyle w:val="TextBody"/>
        <w:bidi w:val="0"/>
        <w:spacing w:before="0" w:after="0"/>
        <w:ind w:left="9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or enforce judgments of U.S. courts obtained against us or our directors or officers predicated upon the civil liability provisions of securities laws of the United States or any state in the United States; or</w:t>
            </w:r>
          </w:p>
        </w:tc>
      </w:tr>
    </w:tbl>
    <w:p>
      <w:pPr>
        <w:pStyle w:val="TextBody"/>
        <w:bidi w:val="0"/>
        <w:spacing w:before="0" w:after="0"/>
        <w:ind w:left="9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been advised by Ogier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a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the courts of the Cayman Islands will recognize and enforce a foreign judgement, without any re-examination or re-litigation of matters adjudicated upon, provided such judgment:</w:t>
      </w:r>
    </w:p>
    <w:p>
      <w:pPr>
        <w:pStyle w:val="TextBody"/>
        <w:bidi w:val="0"/>
        <w:spacing w:before="0" w:after="0"/>
        <w:ind w:left="960" w:right="0" w:firstLine="36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230"/>
        <w:gridCol w:w="4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given by a foreign court of competent jurisdiction;</w:t>
            </w:r>
          </w:p>
        </w:tc>
      </w:tr>
    </w:tbl>
    <w:p>
      <w:pPr>
        <w:pStyle w:val="TextBody"/>
        <w:bidi w:val="0"/>
        <w:spacing w:before="0" w:after="0"/>
        <w:ind w:left="960" w:right="0" w:firstLine="36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245"/>
        <w:gridCol w:w="86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imposes on the judgment debtor a liability to pay a liquidated sum for which the judgment has been given;</w:t>
            </w:r>
          </w:p>
        </w:tc>
      </w:tr>
    </w:tbl>
    <w:p>
      <w:pPr>
        <w:pStyle w:val="TextBody"/>
        <w:bidi w:val="0"/>
        <w:spacing w:before="0" w:after="0"/>
        <w:ind w:left="960" w:right="0" w:firstLine="36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75"/>
        <w:gridCol w:w="230"/>
        <w:gridCol w:w="6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final;</w:t>
            </w:r>
          </w:p>
        </w:tc>
      </w:tr>
    </w:tbl>
    <w:p>
      <w:pPr>
        <w:pStyle w:val="TextBody"/>
        <w:bidi w:val="0"/>
        <w:spacing w:before="0" w:after="0"/>
        <w:ind w:left="960" w:right="0" w:firstLine="36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5"/>
        <w:gridCol w:w="245"/>
        <w:gridCol w:w="35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in respect of taxes, a fine or a penalty;</w:t>
            </w:r>
          </w:p>
        </w:tc>
      </w:tr>
    </w:tbl>
    <w:p>
      <w:pPr>
        <w:pStyle w:val="TextBody"/>
        <w:bidi w:val="0"/>
        <w:spacing w:before="0" w:after="0"/>
        <w:ind w:left="960" w:right="0" w:firstLine="36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230"/>
        <w:gridCol w:w="25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2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was not obtained by fraud; and</w:t>
            </w:r>
          </w:p>
        </w:tc>
      </w:tr>
    </w:tbl>
    <w:p>
      <w:pPr>
        <w:pStyle w:val="TextBody"/>
        <w:bidi w:val="0"/>
        <w:spacing w:before="0" w:after="0"/>
        <w:ind w:left="960" w:right="0" w:firstLine="36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200"/>
        <w:gridCol w:w="92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of a kind the enforcement of which is contrary to natural justice or the public policy of the Cayman Islands.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public shareholders may have more difficulty in protecting their interests in the face of actions taken by management, members of the board of directors or controlling shareholders than they would as public shareholders of a U.S.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counsel, Sino Pro Law Firm, has further advised us that the recognition and enforcement of foreign judgments are regulated under the PRC Civil Procedure Law. PRC courts may recognize and enforce foreign judgments in accordance with the requirements of the PRC Civil Procedure Law based either on treaties between China and the country where the judgment is made or on reciprocity between jurisdictions. There are no treaties or other forms of reciprocity between China and the United States for the mutual recognition and enforcement of court judgments. In addition, under PRC law, PRC courts will not enforce a foreign judgment against us or our officers and directors if the court decides that such judgment violates the basic principles of PRC law or national sovereignty, security or public interest, thus making the recognition and enforcement of a U.S. court judgment in China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b_019"/>
      <w:bookmarkEnd w:id="33"/>
      <w:r>
        <w:rPr>
          <w:rFonts w:ascii="Times New Roman;Times;Serif" w:hAnsi="Times New Roman;Times;Serif"/>
          <w:b/>
          <w:i w:val="false"/>
          <w:caps w:val="false"/>
          <w:smallCaps w:val="false"/>
          <w:sz w:val="20"/>
        </w:rPr>
        <w:t>DISCLOSURE OF COMMISSION POSITION ON INDEMNIFICATION FOR SECURITIES 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 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9,700,000 Class A Ordinary Shares Underlying the 9,700,000 Pre-Funded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UNIVEST SECURITIES,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0001954594/000121390025100369/ea0261580-20f_haoxi.htm" TargetMode="External"/><Relationship Id="rId4" Type="http://schemas.openxmlformats.org/officeDocument/2006/relationships/hyperlink" Target="http://www.sec.gov/Archives/edgar/data/1954594/000121390025102164/ea0262030-6k_haoxi.htm" TargetMode="External"/><Relationship Id="rId5" Type="http://schemas.openxmlformats.org/officeDocument/2006/relationships/hyperlink" Target="http://www.sec.gov/Archives/edgar/data/1954594/000121390025109213/ea0264150-6k_haoxi.htm" TargetMode="External"/><Relationship Id="rId6" Type="http://schemas.openxmlformats.org/officeDocument/2006/relationships/hyperlink" Target="http://www.sec.gov/Archives/edgar/data/1954594/000121390025117887/ea0267522-6k_haoxi.htm" TargetMode="External"/><Relationship Id="rId7" Type="http://schemas.openxmlformats.org/officeDocument/2006/relationships/hyperlink" Target="http://www.sec.gov/Archives/edgar/data/1954594/000121390025120070/ea0269110-6k_haoxi.htm" TargetMode="External"/><Relationship Id="rId8" Type="http://schemas.openxmlformats.org/officeDocument/2006/relationships/hyperlink" Target="http://www.sec.gov/Archives/edgar/data/1954594/000121390026007329/ea0273826-6k_haoxi.htm" TargetMode="External"/><Relationship Id="rId9" Type="http://schemas.openxmlformats.org/officeDocument/2006/relationships/hyperlink" Target="http://www.sec.gov/Archives/edgar/data/1954594/000121390026014275/ea0276359-6k_haoxi.htm" TargetMode="External"/><Relationship Id="rId10" Type="http://schemas.openxmlformats.org/officeDocument/2006/relationships/hyperlink" Target="http://www.sec.gov/Archives/edgar/data/1954594/000121390026014275/ea0276359-6k_haoxi.htm" TargetMode="External"/><Relationship Id="rId11" Type="http://schemas.openxmlformats.org/officeDocument/2006/relationships/hyperlink" Target="http://www.sec.gov/Archives/edgar/data/1954594/000121390026024670/ea0280399-6k_haoxi.htm" TargetMode="External"/><Relationship Id="rId12" Type="http://schemas.openxmlformats.org/officeDocument/2006/relationships/hyperlink" Target="http://www.sec.gov/Archives/edgar/data/1954594/000121390026040534/ea0284995-6k_haoxi.htm" TargetMode="External"/><Relationship Id="rId13" Type="http://schemas.openxmlformats.org/officeDocument/2006/relationships/hyperlink" Target="http://www.sec.gov/ix?doc=/Archives/edgar/data/1954594/000121390026046610/ea0287058-6k_haoxi.htm" TargetMode="External"/><Relationship Id="rId14" Type="http://schemas.openxmlformats.org/officeDocument/2006/relationships/hyperlink" Target="https://www.sec.gov/Archives/edgar/data/1954594/000121390026055242/ea0290387-6k_haoxi.htm" TargetMode="External"/><Relationship Id="rId15" Type="http://schemas.openxmlformats.org/officeDocument/2006/relationships/hyperlink" Target="https://www.sec.gov/Archives/edgar/data/1954594/000121390026059033/ea0291487-6k_haoxi.htm" TargetMode="External"/><Relationship Id="rId16" Type="http://schemas.openxmlformats.org/officeDocument/2006/relationships/hyperlink" Target="https://www.sec.gov/Archives/edgar/data/1954594/000121390026060088/ea0291734-01.htm" TargetMode="External"/><Relationship Id="rId17" Type="http://schemas.openxmlformats.org/officeDocument/2006/relationships/hyperlink" Target="https://www.sec.gov/Archives/edgar/data/1954594/000121390026065289/ea0293465-6k_haoxi.htm" TargetMode="External"/><Relationship Id="rId18" Type="http://schemas.openxmlformats.org/officeDocument/2006/relationships/hyperlink" Target="https://www.sec.gov/Archives/edgar/data/1954594/000121390026071499/ea0295368-6k_haoxi.htm" TargetMode="External"/><Relationship Id="rId19" Type="http://schemas.openxmlformats.org/officeDocument/2006/relationships/hyperlink" Target="https://www.sec.gov/Archives/edgar/data/1954594/000121390026075499/ea0297119-6k_haoxi.htm" TargetMode="External"/><Relationship Id="rId20" Type="http://schemas.openxmlformats.org/officeDocument/2006/relationships/hyperlink" Target="http://www.sec.gov/Archives/edgar/data/1954594/000121390024005918/ea192093-8a12b_haoxi.htm" TargetMode="External"/><Relationship Id="rId21" Type="http://schemas.openxmlformats.org/officeDocument/2006/relationships/image" Target="media/image2.jpeg"/><Relationship Id="rId22" Type="http://schemas.openxmlformats.org/officeDocument/2006/relationships/hyperlink" Target="http://www.sec.gov/ix?doc=/Archives/edgar/data/1954594/000121390024091443/ea0218492-20f_haoxi.htm" TargetMode="External"/><Relationship Id="rId23" Type="http://schemas.openxmlformats.org/officeDocument/2006/relationships/hyperlink" Target="http://www.sec.gov/Archives/edgar/data/1954594/000121390024094984/ea0220078-6k_haoxi.htm" TargetMode="External"/><Relationship Id="rId24" Type="http://schemas.openxmlformats.org/officeDocument/2006/relationships/hyperlink" Target="http://www.sec.gov/Archives/edgar/data/1954594/000121390024103098/ea0222843-6k_haoxi.htm" TargetMode="External"/><Relationship Id="rId25" Type="http://schemas.openxmlformats.org/officeDocument/2006/relationships/hyperlink" Target="http://www.sec.gov/Archives/edgar/data/1954594/000121390024110603/ea0225182-6k_haoxi.htm" TargetMode="External"/><Relationship Id="rId26" Type="http://schemas.openxmlformats.org/officeDocument/2006/relationships/hyperlink" Target="http://www.sec.gov/Archives/edgar/data/1954594/000121390025003419/ea0227588-6k_haoxi.htm" TargetMode="External"/><Relationship Id="rId27" Type="http://schemas.openxmlformats.org/officeDocument/2006/relationships/hyperlink" Target="http://www.sec.gov/Archives/edgar/data/1954594/000121390025031574/ea0238029-6k_haoxi.htm" TargetMode="External"/><Relationship Id="rId28" Type="http://schemas.openxmlformats.org/officeDocument/2006/relationships/hyperlink" Target="http://www.sec.gov/ix?doc=/Archives/edgar/data/1954594/000121390025034629/ea0237634-6k_haoxi.htm" TargetMode="External"/><Relationship Id="rId29" Type="http://schemas.openxmlformats.org/officeDocument/2006/relationships/hyperlink" Target="http://www.sec.gov/Archives/edgar/data/1954594/000121390024052441/ea0207663-f1_haoxi.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42484</Words>
  <Characters>224396</Characters>
  <CharactersWithSpaces>266989</CharactersWithSpaces>
  <Paragraphs>2361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