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7750-6k_haoxi.htm"/>
      <w:bookmarkStart w:id="1" w:name="ksea02977506k_haoxi"/>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Haoxi Health Technology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801, Tower C, Floor 8, Building 103, Huizhongli, Chaoyang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of A Registered Direct Offering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Haoxi Health Technology Limited, an exempted company incorporated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entered into a certain securities purchase agreement with certain investors (the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 for the purchase and sale of an aggregate of 300,000 Class A ordinary shares, par value $0.32 per share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at an offering price of $0.40 per share, and 9,700,000 pre-funded warrants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the Class A Ordinary Shares issuable upon the exercise thereof,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together with the Shares, the Pre-Funded Warrants,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for gross proceeds of $4,000,000, assuming all Pre-Funded Warrants are exercised, before deducting placement agent fees and other estimated expenses payable by the Company. The purchase price for each Pre-Funded Warrant is equal to the public offering price for the Class A Shares less the $0.33 per share exercise price of each such Pre-Funded Warrant which is $0.07.</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are immediately exercisable upon issuance. The exercise price per whole Class A Ordinary Share purchasable upon exercise of the Pre-Funded Warrants is $0.33. Each Pre-Funded Warrant is exercisable to purchase one Class A Ordinary Share. In total, the 9,700,000 Pre-Funded Warrants are exercisable to purchase 9,700,000 Class A Ordinary Shares.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pPr>
      <w:r>
        <w:rPr>
          <w:rFonts w:ascii="Times New Roman;Times;Serif" w:hAnsi="Times New Roman;Times;Serif"/>
          <w:b w:val="false"/>
          <w:i w:val="false"/>
          <w:caps w:val="false"/>
          <w:smallCaps w:val="false"/>
          <w:sz w:val="20"/>
        </w:rPr>
        <w:t xml:space="preserve">The Securities are being offered pursuant to a base prospectus, dated June 13, 2025 and a prospectus supplement, dated July 10, 2026, that form a part of the Company’s shelf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as amended (File No. 333-287686)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which Registration Statement was declared effective by the Securities and Exchange Commission on June 13, 2025.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closing of this offering (the “</w:t>
      </w:r>
      <w:r>
        <w:rPr>
          <w:rFonts w:ascii="Times New Roman;Times;Serif" w:hAnsi="Times New Roman;Times;Serif"/>
          <w:b/>
          <w:i w:val="false"/>
          <w:caps w:val="false"/>
          <w:smallCaps w:val="false"/>
          <w:sz w:val="20"/>
        </w:rPr>
        <w:t>Initial Closing</w:t>
      </w:r>
      <w:r>
        <w:rPr>
          <w:rFonts w:ascii="Times New Roman;Times;Serif" w:hAnsi="Times New Roman;Times;Serif"/>
          <w:b w:val="false"/>
          <w:i w:val="false"/>
          <w:caps w:val="false"/>
          <w:smallCaps w:val="false"/>
          <w:sz w:val="20"/>
        </w:rPr>
        <w:t>”) occurred on July 13, 2026 (the “</w:t>
      </w:r>
      <w:r>
        <w:rPr>
          <w:rFonts w:ascii="Times New Roman;Times;Serif" w:hAnsi="Times New Roman;Times;Serif"/>
          <w:b/>
          <w:i w:val="false"/>
          <w:caps w:val="false"/>
          <w:smallCaps w:val="false"/>
          <w:sz w:val="20"/>
        </w:rPr>
        <w:t>Initial Closing Date</w:t>
      </w:r>
      <w:r>
        <w:rPr>
          <w:rFonts w:ascii="Times New Roman;Times;Serif" w:hAnsi="Times New Roman;Times;Serif"/>
          <w:b w:val="false"/>
          <w:i w:val="false"/>
          <w:caps w:val="false"/>
          <w:smallCaps w:val="false"/>
          <w:sz w:val="20"/>
        </w:rPr>
        <w:t>”). Each Investor, severally, has the right to elect to purchase up to 100% of the number of Class A Ordinary Shares and/or Pre-Funded Warrants each Investor purchased at the Initial Closing (the “</w:t>
      </w:r>
      <w:r>
        <w:rPr>
          <w:rFonts w:ascii="Times New Roman;Times;Serif" w:hAnsi="Times New Roman;Times;Serif"/>
          <w:b/>
          <w:i w:val="false"/>
          <w:caps w:val="false"/>
          <w:smallCaps w:val="false"/>
          <w:sz w:val="20"/>
        </w:rPr>
        <w:t>Purchase Limit</w:t>
      </w:r>
      <w:r>
        <w:rPr>
          <w:rFonts w:ascii="Times New Roman;Times;Serif" w:hAnsi="Times New Roman;Times;Serif"/>
          <w:b w:val="false"/>
          <w:i w:val="false"/>
          <w:caps w:val="false"/>
          <w:smallCaps w:val="false"/>
          <w:sz w:val="20"/>
        </w:rPr>
        <w:t>”) on or before September 30, 2026 (the date of such additional closing, if any, the “</w:t>
      </w:r>
      <w:r>
        <w:rPr>
          <w:rFonts w:ascii="Times New Roman;Times;Serif" w:hAnsi="Times New Roman;Times;Serif"/>
          <w:b/>
          <w:i w:val="false"/>
          <w:caps w:val="false"/>
          <w:smallCaps w:val="false"/>
          <w:sz w:val="20"/>
        </w:rPr>
        <w:t>Additional Closing Date</w:t>
      </w:r>
      <w:r>
        <w:rPr>
          <w:rFonts w:ascii="Times New Roman;Times;Serif" w:hAnsi="Times New Roman;Times;Serif"/>
          <w:b w:val="false"/>
          <w:i w:val="false"/>
          <w:caps w:val="false"/>
          <w:smallCaps w:val="false"/>
          <w:sz w:val="20"/>
        </w:rPr>
        <w:t>”) at the same purchase price of the Initial Closing. The “Closing Date” refers to each of the Initial Closing Date and Additional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the Company has agreed, for a period beginning on the date of the Securities Purchase Agreement and ending on thirty (30) days following the Closing Date, not to (i) issue or enter into an agreement to issue any Ordinary Shares or Ordinary Share Equivalents (as defined in the Securities Purchase Agreement), or (ii) file any registration statement or amendment or supplement thereto, subject to certain exceptions. The Company has also agreed not to enter into or effect any Variable Rate Transaction (as defined in the Securities Purchase Agreement) for a period beginning on the date of the Securities Purchase Agreement and ending on thirty (30) days following the Closing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Company entered into a placement agency agreement (the “</w:t>
      </w:r>
      <w:r>
        <w:rPr>
          <w:rFonts w:ascii="Times New Roman;Times;Serif" w:hAnsi="Times New Roman;Times;Serif"/>
          <w:b/>
          <w:i w:val="false"/>
          <w:caps w:val="false"/>
          <w:smallCaps w:val="false"/>
          <w:sz w:val="20"/>
        </w:rPr>
        <w:t>Placement Agency Agreement</w:t>
      </w:r>
      <w:r>
        <w:rPr>
          <w:rFonts w:ascii="Times New Roman;Times;Serif" w:hAnsi="Times New Roman;Times;Serif"/>
          <w:b w:val="false"/>
          <w:i w:val="false"/>
          <w:caps w:val="false"/>
          <w:smallCaps w:val="false"/>
          <w:sz w:val="20"/>
        </w:rPr>
        <w:t>”) with Univest Securities, LLC (the “</w:t>
      </w:r>
      <w:r>
        <w:rPr>
          <w:rFonts w:ascii="Times New Roman;Times;Serif" w:hAnsi="Times New Roman;Times;Serif"/>
          <w:b/>
          <w:i w:val="false"/>
          <w:caps w:val="false"/>
          <w:smallCaps w:val="false"/>
          <w:sz w:val="20"/>
        </w:rPr>
        <w:t>Placement Agent</w:t>
      </w:r>
      <w:r>
        <w:rPr>
          <w:rFonts w:ascii="Times New Roman;Times;Serif" w:hAnsi="Times New Roman;Times;Serif"/>
          <w:b w:val="false"/>
          <w:i w:val="false"/>
          <w:caps w:val="false"/>
          <w:smallCaps w:val="false"/>
          <w:sz w:val="20"/>
        </w:rPr>
        <w:t>”) on July 10, 2026, pursuant to which the Placement Agent acted as sole placement agent for this offering and would receive at the closing of the offering a cash fee equal to 7% of the gross proceeds, a non-accountable expenses allowance of 0.5% of the gross proceeds of the offering and reimbursement for legal fees and other out-of-pocket fees, costs and expenses in the amount of up to $60,000.</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July 10, 2026, each of the directors and officers of the Company, as well as shareholders who beneficially own more than 5% of the issued and outstanding Class A Ordinary Shares, entered into a certain lock-up agreements (the “</w:t>
      </w:r>
      <w:r>
        <w:rPr>
          <w:rFonts w:ascii="Times New Roman;Times;Serif" w:hAnsi="Times New Roman;Times;Serif"/>
          <w:b/>
          <w:i w:val="false"/>
          <w:caps w:val="false"/>
          <w:smallCaps w:val="false"/>
          <w:sz w:val="20"/>
        </w:rPr>
        <w:t>Lock-Up Agreements</w:t>
      </w:r>
      <w:r>
        <w:rPr>
          <w:rFonts w:ascii="Times New Roman;Times;Serif" w:hAnsi="Times New Roman;Times;Serif"/>
          <w:b w:val="false"/>
          <w:i w:val="false"/>
          <w:caps w:val="false"/>
          <w:smallCaps w:val="false"/>
          <w:sz w:val="20"/>
        </w:rPr>
        <w:t>”), pursuant to which each of them has agreed, among other things, not to sell or dispose of any Ordinary Shares which are or will be beneficially owned by them for ninety (90) days following the Closing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the Company issued an aggregate of 5,100,000 Class A Ordinary Shares, consisting of 300,000 Class A Ordinary Shares issued pursuant to the Securities Purchase Agreement and 480,000 Class A Ordinary Shares upon exercise of 4,800,000 Pre-Funded Warrants. As of July 13, 2026, the Company has 7,004,632 Class A Ordinary Shares and 317,897 Class B Ordinary Shares issued and outstanding.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the offering for working capital, operating expenses, capital expenditures, potential acquisitions, business development activities, and other strategic initiatives in line with the Company’s growth plans. However, the management of the Company will have discretion in allocating the net proceeds in accordance with the above priorities and purposes, depending on general operating costs and expenditures and the changing needs of the Company’s business.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(i) form of Pre-Funded Warrant, (ii) form of Securities Purchase Agreement, (iii) Placement Agency Agreement, and (vi) form lock-up agreement are attached hereto as Exhibits 4.1, 10.1, 10.2, and 10.3, respectively, and are incorporated by reference herein. The foregoing summaries of the terms of each agreement mentioned above are subject to, and qualified in their entirety by, such documents. A copy of the opinion of Ogier, as Cayman Islands counsel to the Company, regarding the legality of the issuance and allotment of the Securities is attached hereto as Exhibit 5.1 and is incorporated by reference herein.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does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current report on Form 6-K are forward-looking statements. These forward-looking statements involve known and unknown risks and uncertainties and are based on current expectations and projections about future events and financial trends that the Company believes may affect its financial condition, results of operations, business strategy and financial needs.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in its other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5230" w:type="dxa"/>
        <w:jc w:val="left"/>
        <w:tblInd w:w="0" w:type="dxa"/>
        <w:tblLayout w:type="fixed"/>
        <w:tblCellMar>
          <w:top w:w="0" w:type="dxa"/>
          <w:left w:w="0" w:type="dxa"/>
          <w:bottom w:w="28" w:type="dxa"/>
          <w:right w:w="0" w:type="dxa"/>
        </w:tblCellMar>
      </w:tblPr>
      <w:tblGrid>
        <w:gridCol w:w="995"/>
        <w:gridCol w:w="60"/>
        <w:gridCol w:w="4175"/>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4175" w:type="dxa"/>
            <w:tcBorders>
              <w:bottom w:val="single" w:sz="12" w:space="0" w:color="000000"/>
            </w:tcBorders>
            <w:vAlign w:val="center"/>
          </w:tcPr>
          <w:p>
            <w:pPr>
              <w:pStyle w:val="TableContents"/>
              <w:bidi w:val="0"/>
              <w:spacing w:before="0" w:after="283"/>
              <w:jc w:val="center"/>
              <w:rPr>
                <w:b/>
                <w:sz w:val="20"/>
              </w:rPr>
            </w:pPr>
            <w:r>
              <w:rPr>
                <w:b/>
                <w:sz w:val="20"/>
              </w:rPr>
              <w:t>Description of Exhibit</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75" w:type="dxa"/>
            <w:tcBorders/>
            <w:shd w:fill="CCEEFF" w:val="clear"/>
            <w:tcMar>
              <w:bottom w:w="0" w:type="dxa"/>
            </w:tcMar>
            <w:vAlign w:val="center"/>
          </w:tcPr>
          <w:p>
            <w:pPr>
              <w:pStyle w:val="TableContents"/>
              <w:bidi w:val="0"/>
              <w:spacing w:before="0" w:after="283"/>
              <w:jc w:val="left"/>
              <w:rPr/>
            </w:pPr>
            <w:hyperlink w:anchor="ea029775001ex4-1.htm">
              <w:r>
                <w:rPr>
                  <w:rStyle w:val="InternetLink"/>
                  <w:sz w:val="20"/>
                </w:rPr>
                <w:t>Form of Pre-Funded Warrants</w:t>
              </w:r>
            </w:hyperlink>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75" w:type="dxa"/>
            <w:tcBorders/>
            <w:shd w:fill="FFFFFF" w:val="clear"/>
            <w:tcMar>
              <w:bottom w:w="0" w:type="dxa"/>
            </w:tcMar>
            <w:vAlign w:val="center"/>
          </w:tcPr>
          <w:p>
            <w:pPr>
              <w:pStyle w:val="TableContents"/>
              <w:bidi w:val="0"/>
              <w:spacing w:before="0" w:after="283"/>
              <w:jc w:val="left"/>
              <w:rPr/>
            </w:pPr>
            <w:hyperlink w:anchor="ea029775001ex5-1.htm">
              <w:r>
                <w:rPr>
                  <w:rStyle w:val="InternetLink"/>
                  <w:sz w:val="20"/>
                </w:rPr>
                <w:t>Opinion of Ogier</w:t>
              </w:r>
            </w:hyperlink>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75" w:type="dxa"/>
            <w:tcBorders/>
            <w:shd w:fill="CCEEFF" w:val="clear"/>
            <w:tcMar>
              <w:bottom w:w="0" w:type="dxa"/>
            </w:tcMar>
            <w:vAlign w:val="center"/>
          </w:tcPr>
          <w:p>
            <w:pPr>
              <w:pStyle w:val="TableContents"/>
              <w:bidi w:val="0"/>
              <w:spacing w:before="0" w:after="283"/>
              <w:jc w:val="left"/>
              <w:rPr/>
            </w:pPr>
            <w:hyperlink w:anchor="ea029775001ex10-1.htm">
              <w:r>
                <w:rPr>
                  <w:rStyle w:val="InternetLink"/>
                  <w:sz w:val="20"/>
                </w:rPr>
                <w:t>Form of Securities Purchase Agreement</w:t>
              </w:r>
            </w:hyperlink>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75" w:type="dxa"/>
            <w:tcBorders/>
            <w:shd w:fill="FFFFFF" w:val="clear"/>
            <w:tcMar>
              <w:bottom w:w="0" w:type="dxa"/>
            </w:tcMar>
            <w:vAlign w:val="center"/>
          </w:tcPr>
          <w:p>
            <w:pPr>
              <w:pStyle w:val="TableContents"/>
              <w:bidi w:val="0"/>
              <w:spacing w:before="0" w:after="283"/>
              <w:jc w:val="left"/>
              <w:rPr/>
            </w:pPr>
            <w:hyperlink w:anchor="ea029775001ex10-2.htm">
              <w:r>
                <w:rPr>
                  <w:rStyle w:val="InternetLink"/>
                  <w:sz w:val="20"/>
                </w:rPr>
                <w:t>Placement Agency Agreement, dated July 10, 2026</w:t>
              </w:r>
            </w:hyperlink>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75" w:type="dxa"/>
            <w:tcBorders/>
            <w:shd w:fill="CCEEFF" w:val="clear"/>
            <w:tcMar>
              <w:bottom w:w="0" w:type="dxa"/>
            </w:tcMar>
            <w:vAlign w:val="center"/>
          </w:tcPr>
          <w:p>
            <w:pPr>
              <w:pStyle w:val="TableContents"/>
              <w:bidi w:val="0"/>
              <w:spacing w:before="0" w:after="283"/>
              <w:jc w:val="left"/>
              <w:rPr/>
            </w:pPr>
            <w:hyperlink w:anchor="ea029775001ex10-3.htm">
              <w:r>
                <w:rPr>
                  <w:rStyle w:val="InternetLink"/>
                  <w:sz w:val="20"/>
                </w:rPr>
                <w:t>Form of Lock-Up Agreement</w:t>
              </w:r>
            </w:hyperlink>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75" w:type="dxa"/>
            <w:tcBorders/>
            <w:shd w:fill="FFFFFF" w:val="clear"/>
            <w:tcMar>
              <w:bottom w:w="0" w:type="dxa"/>
            </w:tcMar>
            <w:vAlign w:val="center"/>
          </w:tcPr>
          <w:p>
            <w:pPr>
              <w:pStyle w:val="TableContents"/>
              <w:bidi w:val="0"/>
              <w:spacing w:before="0" w:after="283"/>
              <w:jc w:val="left"/>
              <w:rPr/>
            </w:pPr>
            <w:hyperlink w:anchor="ea029775001ex5-1.htm">
              <w:r>
                <w:rPr>
                  <w:rStyle w:val="InternetLink"/>
                  <w:sz w:val="20"/>
                </w:rPr>
                <w:t>Consent of Ogier (included in Exhibit 5.1)</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569" w:type="dxa"/>
        <w:jc w:val="left"/>
        <w:tblInd w:w="0" w:type="dxa"/>
        <w:tblLayout w:type="fixed"/>
        <w:tblCellMar>
          <w:top w:w="0" w:type="dxa"/>
          <w:left w:w="0" w:type="dxa"/>
          <w:bottom w:w="0" w:type="dxa"/>
          <w:right w:w="0" w:type="dxa"/>
        </w:tblCellMar>
      </w:tblPr>
      <w:tblGrid>
        <w:gridCol w:w="1625"/>
        <w:gridCol w:w="682"/>
        <w:gridCol w:w="2262"/>
      </w:tblGrid>
      <w:tr>
        <w:trPr/>
        <w:tc>
          <w:tcPr>
            <w:tcW w:w="162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b/>
                <w:sz w:val="20"/>
              </w:rPr>
            </w:pPr>
            <w:r>
              <w:rPr>
                <w:b/>
                <w:sz w:val="20"/>
              </w:rPr>
              <w:t>Haoxi Health Technology Limited</w:t>
            </w:r>
          </w:p>
        </w:tc>
      </w:tr>
      <w:tr>
        <w:trPr/>
        <w:tc>
          <w:tcPr>
            <w:tcW w:w="162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2262"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 July 13, 2026</w:t>
            </w:r>
          </w:p>
        </w:tc>
        <w:tc>
          <w:tcPr>
            <w:tcW w:w="682" w:type="dxa"/>
            <w:tcBorders/>
            <w:vAlign w:val="center"/>
          </w:tcPr>
          <w:p>
            <w:pPr>
              <w:pStyle w:val="TableContents"/>
              <w:bidi w:val="0"/>
              <w:spacing w:before="0" w:after="283"/>
              <w:jc w:val="left"/>
              <w:rPr>
                <w:sz w:val="20"/>
              </w:rPr>
            </w:pPr>
            <w:r>
              <w:rPr>
                <w:sz w:val="20"/>
              </w:rPr>
              <w:t>By:</w:t>
            </w:r>
          </w:p>
        </w:tc>
        <w:tc>
          <w:tcPr>
            <w:tcW w:w="2262"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Zhen Fan</w:t>
            </w:r>
          </w:p>
        </w:tc>
      </w:tr>
      <w:tr>
        <w:trPr/>
        <w:tc>
          <w:tcPr>
            <w:tcW w:w="162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sz w:val="20"/>
              </w:rPr>
            </w:pPr>
            <w:r>
              <w:rPr>
                <w:sz w:val="20"/>
              </w:rPr>
              <w:t>Name: </w:t>
            </w:r>
          </w:p>
        </w:tc>
        <w:tc>
          <w:tcPr>
            <w:tcW w:w="2262" w:type="dxa"/>
            <w:tcBorders/>
            <w:vAlign w:val="center"/>
          </w:tcPr>
          <w:p>
            <w:pPr>
              <w:pStyle w:val="TableContents"/>
              <w:bidi w:val="0"/>
              <w:spacing w:before="0" w:after="283"/>
              <w:jc w:val="left"/>
              <w:rPr>
                <w:sz w:val="20"/>
              </w:rPr>
            </w:pPr>
            <w:r>
              <w:rPr>
                <w:sz w:val="20"/>
              </w:rPr>
              <w:t>Zhen Fan</w:t>
            </w:r>
          </w:p>
        </w:tc>
      </w:tr>
      <w:tr>
        <w:trPr/>
        <w:tc>
          <w:tcPr>
            <w:tcW w:w="162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sz w:val="20"/>
              </w:rPr>
            </w:pPr>
            <w:r>
              <w:rPr>
                <w:sz w:val="20"/>
              </w:rPr>
              <w:t>Title:</w:t>
            </w:r>
          </w:p>
        </w:tc>
        <w:tc>
          <w:tcPr>
            <w:tcW w:w="2262"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rPr>
      </w:pPr>
      <w:bookmarkStart w:id="2" w:name="ea029775001ex4-1.htm"/>
      <w:bookmarkStart w:id="3" w:name="ksea029775001ex41"/>
      <w:bookmarkEnd w:id="2"/>
      <w:bookmarkEnd w:id="3"/>
      <w:r>
        <w:rPr>
          <w:b/>
        </w:rPr>
        <w:t>Exhibit 4.1</w:t>
      </w:r>
      <w:r>
        <w:br w:type="page"/>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ORDNIARY SHARE PURCHASE WARRANT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Haoxi Health Technology Limited</w:t>
      </w:r>
    </w:p>
    <w:p>
      <w:pPr>
        <w:pStyle w:val="TextBody"/>
        <w:bidi w:val="0"/>
        <w:spacing w:before="0" w:after="0"/>
        <w:jc w:val="center"/>
        <w:rPr>
          <w:caps/>
        </w:rPr>
      </w:pPr>
      <w:r>
        <w:rPr>
          <w:caps/>
        </w:rPr>
        <w:t> </w:t>
      </w:r>
    </w:p>
    <w:tbl>
      <w:tblPr>
        <w:tblW w:w="6835" w:type="dxa"/>
        <w:jc w:val="left"/>
        <w:tblInd w:w="0" w:type="dxa"/>
        <w:tblLayout w:type="fixed"/>
        <w:tblCellMar>
          <w:top w:w="0" w:type="dxa"/>
          <w:left w:w="0" w:type="dxa"/>
          <w:bottom w:w="0" w:type="dxa"/>
          <w:right w:w="0" w:type="dxa"/>
        </w:tblCellMar>
      </w:tblPr>
      <w:tblGrid>
        <w:gridCol w:w="4100"/>
        <w:gridCol w:w="2735"/>
      </w:tblGrid>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Shares: [______] Class A Ordinary Shares</w:t>
            </w:r>
          </w:p>
        </w:tc>
        <w:tc>
          <w:tcPr>
            <w:tcW w:w="27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Initial Exercise Date: [___],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PRE-FUNDED ORDINARY SHARE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[____]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until this Warrant is exercised in full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Haoxi Health Technology Limited, a Cayman Islands exempted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[______]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Ordinary Shares. The purchase price of one Ordinary Share under this Warrant shall be equal to the Exercise Price, as defined in Section 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July 10, 2026, among the Company and the underwriter signatory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aggregate exercise price of this Warrant, except for a nominal exercise price of $0.33 per Warrant Share, was pre-funded to the Company on or prior to the Initial Exercise Date and, consequently, no additional consideration (other than the nominal exercise price of $0.33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Ordinary Share under this Warrant shall be $0.33, subject to adjustment hereunder (the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 xml:space="preserve">Cashless Exercise. </w:t>
      </w:r>
      <w:r>
        <w:rPr>
          <w:rFonts w:ascii="Times New Roman;Times;Serif" w:hAnsi="Times New Roman;Times;Serif"/>
          <w:b w:val="false"/>
          <w:i w:val="false"/>
          <w:caps w:val="false"/>
          <w:smallCaps w:val="false"/>
          <w:sz w:val="20"/>
        </w:rPr>
        <w:t>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72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Ordinary Shares on the principal Trading Market as reported by Bloomberg L.P. (“</w:t>
            </w:r>
            <w:r>
              <w:rPr>
                <w:rFonts w:ascii="Times New Roman;Times;Serif" w:hAnsi="Times New Roman;Times;Serif"/>
                <w:sz w:val="20"/>
                <w:u w:val="single"/>
              </w:rPr>
              <w:t>Bloomberg</w:t>
            </w:r>
            <w:r>
              <w:rPr>
                <w:rFonts w:ascii="Times New Roman;Times;Serif" w:hAnsi="Times New Roman;Times;Serif"/>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 </w:t>
            </w:r>
          </w:p>
        </w:tc>
        <w:tc>
          <w:tcPr>
            <w:tcW w:w="98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 =</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of this Warrant, as adjusted hereunder; and</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 </w:t>
            </w:r>
          </w:p>
        </w:tc>
        <w:tc>
          <w:tcPr>
            <w:tcW w:w="98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 =</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Warrant Shares are issued in such a cashless exercise, the parties acknowledge and agree that in accordance with Section 3(a)(9) of the Securities Act, the Warrant Shares shall take on the registered characteristics of the Warrant being exercised. The Company agrees not to take any position contrary to this Section 2(c).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Ordinary Shares are then listed or quoted on a Trading Market, the bid price of the Ordinary Shares for the time in question (or the nearest preceding date) on the Trading Market on which the Ordinary Shares are then listed or quoted as reported by Bloomberg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Purchasers of a majority in interest of the Warrants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bid price per Ordinary Share so reported, or (d) in all other cases, the fair market value of a Ordinary Share as determined by an independent appraiser selected in good faith by the Purchasers of a majority in interest of the Warrants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on the Termination Date, this Warrant shall be automatically exercised via cashless exercise pursuant to this Section 2(c).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the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one (1) Trading Day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US$1,000 of Warrant Shares subject to such exercise (based on the VWAP of the Ordinary Shares on the date of the applicable Notice of Exercise), US$10 per Trading Day (increasing to US$20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Ordinary Shares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pStyle w:val="TextBody"/>
        <w:bidi w:val="0"/>
        <w:spacing w:before="0" w:after="0"/>
        <w:ind w:left="2160" w:right="0" w:firstLine="63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2160" w:right="0" w:firstLine="630"/>
        <w:jc w:val="both"/>
        <w:rPr>
          <w:caps w:val="false"/>
          <w:smallCaps w:val="false"/>
        </w:rPr>
      </w:pPr>
      <w:r>
        <w:rPr>
          <w:caps w:val="false"/>
          <w:smallCaps w:val="false"/>
        </w:rPr>
        <w:t> </w:t>
      </w:r>
    </w:p>
    <w:p>
      <w:pPr>
        <w:pStyle w:val="TextBody"/>
        <w:bidi w:val="0"/>
        <w:spacing w:before="0" w:after="0"/>
        <w:ind w:left="2160" w:right="0" w:firstLine="63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2160" w:right="0" w:firstLine="63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Ordinary Shares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Ordinary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 For example, if the Holder purchases Ordinary Shares having a total purchase price of US$11,000 to cover a Buy-In with respect to an attempted exercise of Ordinary Shares with an aggregate sale price giving rise to such purchase obligation of US$10,000, under clause (A) of the immediately preceding sentence the Company shall be required to pay the Holder US$1,000.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Ordinary Shares upon exercise of the Warrant as required pursuant to the terms hereof.</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which prevents the timely exercise of this Warrant, pursuant to the terms hereof.</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and any other Persons whose beneficial ownership of the Ordinary Shares would or could be aggregated with the Holder’s for the purposes of Section 13(d) of the Exchange Act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exercise of this Warrant with respect to which such determination is being made, but shall exclude the number of Ordinary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the Warrant that are not in compliance with the Beneficial Ownership Limitation, except to the extent the Holder relies on the number of outstanding Ordinary Shares that was provided by the Company.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the Warrant that are not in compliance with the Beneficial Ownership Limitation, except to the extent the Holder relies on the number of outstanding Ordinary Shares that was provided by the Company. For purposes of this Section 2(e), in determining the number of outstanding Ordinary Shares, a Holder may rely on the number of outstanding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9.99% of the number of Ordinary Shares outstanding immediately after giving effect to the issuance of Ordinary Shares issuable upon exercise of this Warrant.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the Warrant is unexercisable as a result of the Holder’s Beneficial Ownership Limitation, no alternate consideration is owing to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Share Dividends and Splits</w:t>
      </w:r>
      <w:r>
        <w:rPr>
          <w:rFonts w:ascii="Times New Roman;Times;Serif" w:hAnsi="Times New Roman;Times;Serif"/>
          <w:b w:val="false"/>
          <w:i w:val="false"/>
          <w:caps w:val="false"/>
          <w:smallCaps w:val="false"/>
          <w:sz w:val="20"/>
        </w:rPr>
        <w:t>. If the Company, at any time while this Warrant is outstanding: (i) pays a share dividend or otherwise makes a distribution or distributions on its Ordinary Shares or any other equity or equity equivalent securities payable in Ordinary Shares (which, for avoidance of doubt, shall not include any Ordinary Shares issued by the Company upon exercise of this Warrant), (ii) subdivides outstanding Ordinary Shares into a larger number of shares, (iii) combines (including by way of share consolidation) outstanding Ordinary Shares into a smaller number of shares, or (iv) issues by reclassification of the Ordinary Shares any shares of capital stock of the Company, then in each case the Exercise Price shall be multiplied by a fraction of which the numerator shall be the number of Ordinary Shares (excluding treasury shares, if any) outstanding immediately before such event and of which the denominator shall be the number of Ordinary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If the Company, at any time while the Warrant is outstanding, shall issue rights, options or warrants to all holders of Ordinary Shares (and not to the Holder) entitling them to subscribe for or purchase Ordinary Shares at a price per share less than the VWAP on the record date mentioned below, then the Exercise Price shall be multiplied by a fraction, of which the denominator shall be the number of Ordinary Shares outstanding on the date of issuance of such rights, options or warrants plus the number of additional Ordinary Shares offered for subscription or purchase, and of which the numerator shall be the number of Ordinary Shares outstanding on the date of issuance of such rights, options or warrants plus the number of shares which the aggregate offering price of the total number of shares so offered (assuming receipt by the Company in full of all consideration payable upon exercise of such rights, options or warrants) would purchase at such VWAP. Such adjustment shall be made whenever such rights, options or warrants are issued, and shall become effective immediately after the record date for the determination of shareholders entitled to receive such rights, options or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Ordinary Shares,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Ordinary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Ordinary Shares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50% or more of the outstanding Ordinary Shares or 50% or more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50% or more of the outstanding Ordinary Shares or 50% or more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Ordinary Shares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(i) whether the Company has sufficient authorized Ordinary Shares for the issuance of Warrant Shares and/or (ii) whether a Fundamental Transaction occurs prior to the Initial Exercise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Ordinary Shares deemed to be issued and outstanding as of a given date shall be the sum of the number of Ordinary Shares (excluding treasury shares, if any) issued and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Ordinary Shares, (B) the Company shall declare a special nonrecurring cash dividend on or a redemption of the Ordinary Shares, (C) the Company shall authorize the granting to all holders of Ordinary Shares rights or warrants to subscribe for or purchase any shares of capital stock of any class or of any rights, (D) the approval of any shareholders of the Company shall be required in connection with any reclassification of the Ordinary Shares, any Fundamental Transaction,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provided, further that no notice shall be required if the information is disseminated in a press release or document filed with the Commission within such time period. To the extent that any notice provided in this Warrant constitutes, or contains, material, non-public information regarding the Company or any of the Subsidiaries, the Company shall simultaneously file such notice with the Commission pursuant to a Report on Form 6-K.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on which the Ordinary Shares are then listed and with the prior written consent of the Holder, the Company may at any time during the term of this Warrant reduce the then current Exercise Price to any amount and for any period of time deemed appropriate by the board of directors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share certificate relating to the Warrant Shares, and in case of loss, theft or destruction, of indemnity or security reasonably satisfactory to it (which, in the case of the Warrant, shall not include the posting of any bond), and upon surrender and cancellation of such Warrant or share certificate, if mutilated, the Company will make and deliver a new Warrant or share certificate of like tenor and dated as of such cancellation, in lieu of such Warrant or share certificate.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Ordinary Shares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Ordinary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(except for effecting a share combination in order to satisfy exchange listing requirements),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This Warrant shall be governed by and construed in accordance with the laws of the State of New York. The Company irrevocably (a) submits to the jurisdiction the federal courts of the United States of America or the courts of the State of New York, in each case located in the City of New York and County of New York, for the purpose of any suit, action, or other proceeding arising out of this Warrant, or any of the agreements or transactions contemplated by this or the Underwriting Agreement (each, a “</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(b) agrees that all claims in respect of any Proceeding may be heard and determined in any such court, (c) waives, to the fullest extent permitted by law, any immunity from jurisdiction of any such court or from any legal process therein, (d) agrees not to commence any Proceeding other than in such courts, and (e) waives, to the fullest extent permitted by law, any claim that such Proceeding is brought in an inconvenient forum. THE COMPANY (ON BEHALF OF ITSELF AND, TO THE FULLEST EXTENT PERMITTED BY LAW, ON BEHALF OF ITS RESPECTIVE EQUITY HOLDERS AND CREDITORS) HEREBY WAIVES ANY RIGHT IT MAY HAVE TO A TRIAL BY JURY IN RESPECT OF ANY CLAIM BASED UPON, ARISING OUT OF OR IN CONNECTION WITH THIS WARRANT AND THE TRANSACTIONS CONTEMPLATED BY THIS WARRANT AND THE UNDERWRITING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Exercise, shall be in writing and delivered personally, by facsimile or e-mail, or sent by a nationally recognized overnight courier service, addressed to the Company, at Room 801, Tower C, Floor 8, Building 103, Huizhongli, Chaoyang District, Attention: Zhen Fan, email address: fanzhen@haoximedia.com, or such other facsimile number, email address or address as the Company may specify for such purposes by notice to the Holders. Any and all notices or other communications or deliveries to be provided by the Company hereunder shall be in writing and delivered personally, by facsimile or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date of transmission, if such notice or communication is delivered via facsimile at the facsimile number or via e-mail at the e-mail address set forth in this Section prior to 5:30 p.m. (New York City time) on any date, (ii) the next Trading Day after the date of transmission, if such notice or communication is delivered via facsimile at the facsimile number or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shareholder of the Company, whether such liability is asserted by the Company or by creditors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both"/>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682"/>
        <w:gridCol w:w="2262"/>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Haoxi Health Technology Limited</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22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6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2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Fan Zhen</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both"/>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350"/>
        <w:gridCol w:w="2840"/>
      </w:tblGrid>
      <w:tr>
        <w:trPr/>
        <w:tc>
          <w:tcPr>
            <w:tcW w:w="350" w:type="dxa"/>
            <w:tcBorders/>
            <w:vAlign w:val="center"/>
          </w:tcPr>
          <w:p>
            <w:pPr>
              <w:pStyle w:val="TableContents"/>
              <w:bidi w:val="0"/>
              <w:spacing w:before="0" w:after="283"/>
              <w:jc w:val="both"/>
              <w:rPr>
                <w:rFonts w:ascii="Times New Roman;Times;Serif" w:hAnsi="Times New Roman;Times;Serif"/>
                <w:caps/>
                <w:sz w:val="20"/>
              </w:rPr>
            </w:pPr>
            <w:r>
              <w:rPr>
                <w:rFonts w:ascii="Times New Roman;Times;Serif" w:hAnsi="Times New Roman;Times;Serif"/>
                <w:caps/>
                <w:sz w:val="20"/>
              </w:rPr>
              <w:t>To:</w:t>
            </w:r>
          </w:p>
        </w:tc>
        <w:tc>
          <w:tcPr>
            <w:tcW w:w="2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Haoxi Health Technology Limited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firstLine="21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firstLine="21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4235"/>
        <w:gridCol w:w="60"/>
        <w:gridCol w:w="1100"/>
      </w:tblGrid>
      <w:tr>
        <w:trPr/>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(Please Print)</w:t>
            </w:r>
          </w:p>
        </w:tc>
      </w:tr>
      <w:tr>
        <w:trPr/>
        <w:tc>
          <w:tcPr>
            <w:tcW w:w="4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w:t>
            </w:r>
          </w:p>
        </w:tc>
        <w:tc>
          <w:tcPr>
            <w:tcW w:w="60" w:type="dxa"/>
            <w:tcBorders/>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4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(Please Print)</w:t>
            </w:r>
          </w:p>
        </w:tc>
      </w:tr>
      <w:tr>
        <w:trPr/>
        <w:tc>
          <w:tcPr>
            <w:tcW w:w="4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both"/>
              <w:rPr/>
            </w:pPr>
            <w:r>
              <w:rPr/>
              <w:t> </w:t>
            </w:r>
          </w:p>
        </w:tc>
      </w:tr>
      <w:tr>
        <w:trPr/>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Phone Number:</w:t>
            </w:r>
          </w:p>
        </w:tc>
        <w:tc>
          <w:tcPr>
            <w:tcW w:w="60" w:type="dxa"/>
            <w:tcBorders/>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both"/>
              <w:rPr/>
            </w:pPr>
            <w:r>
              <w:rPr/>
              <w:t> </w:t>
            </w:r>
          </w:p>
        </w:tc>
      </w:tr>
      <w:tr>
        <w:trPr/>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Email Address:</w:t>
            </w:r>
          </w:p>
        </w:tc>
        <w:tc>
          <w:tcPr>
            <w:tcW w:w="60" w:type="dxa"/>
            <w:tcBorders/>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4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both"/>
              <w:rPr/>
            </w:pPr>
            <w:r>
              <w:rPr/>
              <w:t> </w:t>
            </w:r>
          </w:p>
        </w:tc>
      </w:tr>
      <w:tr>
        <w:trPr/>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Dated: _______________ __, ______</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both"/>
              <w:rPr/>
            </w:pPr>
            <w:r>
              <w:rPr/>
              <w:t> </w:t>
            </w:r>
          </w:p>
        </w:tc>
      </w:tr>
      <w:tr>
        <w:trPr/>
        <w:tc>
          <w:tcPr>
            <w:tcW w:w="4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both"/>
              <w:rPr/>
            </w:pPr>
            <w:r>
              <w:rPr/>
              <w:t> </w:t>
            </w:r>
          </w:p>
        </w:tc>
      </w:tr>
      <w:tr>
        <w:trPr/>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Signature:_________________________</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both"/>
              <w:rPr/>
            </w:pPr>
            <w:r>
              <w:rPr/>
              <w:t> </w:t>
            </w:r>
          </w:p>
        </w:tc>
      </w:tr>
      <w:tr>
        <w:trPr/>
        <w:tc>
          <w:tcPr>
            <w:tcW w:w="4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both"/>
              <w:rPr/>
            </w:pPr>
            <w:r>
              <w:rPr/>
              <w:t> </w:t>
            </w:r>
          </w:p>
        </w:tc>
      </w:tr>
      <w:tr>
        <w:trPr/>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Address:__________________________</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both"/>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t> </w:t>
      </w:r>
    </w:p>
    <w:p>
      <w:pPr>
        <w:pStyle w:val="TextBody"/>
        <w:bidi w:val="0"/>
        <w:jc w:val="right"/>
        <w:rPr>
          <w:b/>
        </w:rPr>
      </w:pPr>
      <w:bookmarkStart w:id="4" w:name="ea029775001ex5-1.htm"/>
      <w:bookmarkStart w:id="5" w:name="ksea029775001ex51"/>
      <w:bookmarkEnd w:id="4"/>
      <w:bookmarkEnd w:id="5"/>
      <w:r>
        <w:rPr>
          <w:b/>
        </w:rPr>
        <w:t>Exhibit 5.1</w:t>
      </w:r>
      <w:r>
        <w:br w:type="page"/>
      </w:r>
    </w:p>
    <w:p>
      <w:pPr>
        <w:pStyle w:val="TextBody"/>
        <w:bidi w:val="0"/>
        <w:spacing w:before="0" w:after="283"/>
        <w:jc w:val="left"/>
        <w:rPr/>
      </w:pPr>
      <w:r>
        <w:rPr/>
        <w:t> </w:t>
      </w:r>
    </w:p>
    <w:p>
      <w:pPr>
        <w:pStyle w:val="TextBody"/>
        <w:bidi w:val="0"/>
        <w:jc w:val="center"/>
        <w:rPr/>
      </w:pPr>
      <w:r>
        <w:rPr/>
        <w:drawing>
          <wp:inline distT="0" distB="0" distL="0" distR="0">
            <wp:extent cx="112395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123950" cy="447675"/>
                    </a:xfrm>
                    <a:prstGeom prst="rect">
                      <a:avLst/>
                    </a:prstGeom>
                  </pic:spPr>
                </pic:pic>
              </a:graphicData>
            </a:graphic>
          </wp:inline>
        </w:drawing>
      </w:r>
    </w:p>
    <w:p>
      <w:pPr>
        <w:pStyle w:val="TextBody"/>
        <w:bidi w:val="0"/>
        <w:spacing w:before="0" w:after="283"/>
        <w:jc w:val="left"/>
        <w:rPr/>
      </w:pPr>
      <w:r>
        <w:rPr/>
        <w:t> </w:t>
      </w:r>
    </w:p>
    <w:tbl>
      <w:tblPr>
        <w:tblW w:w="7158" w:type="dxa"/>
        <w:jc w:val="left"/>
        <w:tblInd w:w="0" w:type="dxa"/>
        <w:tblLayout w:type="fixed"/>
        <w:tblCellMar>
          <w:top w:w="0" w:type="dxa"/>
          <w:left w:w="0" w:type="dxa"/>
          <w:bottom w:w="0" w:type="dxa"/>
          <w:right w:w="0" w:type="dxa"/>
        </w:tblCellMar>
      </w:tblPr>
      <w:tblGrid>
        <w:gridCol w:w="3470"/>
        <w:gridCol w:w="23"/>
        <w:gridCol w:w="3665"/>
      </w:tblGrid>
      <w:tr>
        <w:trPr/>
        <w:tc>
          <w:tcPr>
            <w:tcW w:w="3470" w:type="dxa"/>
            <w:vMerge w:val="restart"/>
            <w:tcBorders/>
            <w:vAlign w:val="center"/>
          </w:tcPr>
          <w:p>
            <w:pPr>
              <w:pStyle w:val="TableContents"/>
              <w:bidi w:val="0"/>
              <w:spacing w:before="0" w:after="283"/>
              <w:jc w:val="left"/>
              <w:rPr>
                <w:b/>
              </w:rPr>
            </w:pPr>
            <w:r>
              <w:rPr>
                <w:b/>
              </w:rPr>
              <w:t>Haoxi Health Technology Limited</w:t>
            </w:r>
          </w:p>
        </w:tc>
        <w:tc>
          <w:tcPr>
            <w:tcW w:w="23" w:type="dxa"/>
            <w:tcBorders/>
            <w:vAlign w:val="center"/>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b/>
              </w:rPr>
            </w:pPr>
            <w:r>
              <w:rPr>
                <w:b/>
              </w:rPr>
              <w:t xml:space="preserve">D  +852 3656 6054 </w:t>
            </w:r>
          </w:p>
        </w:tc>
      </w:tr>
      <w:tr>
        <w:trPr/>
        <w:tc>
          <w:tcPr>
            <w:tcW w:w="3470"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b/>
              </w:rPr>
            </w:pPr>
            <w:r>
              <w:rPr>
                <w:b/>
              </w:rPr>
              <w:t xml:space="preserve">E  nathan.powell@ogier.com </w:t>
            </w:r>
          </w:p>
        </w:tc>
      </w:tr>
      <w:tr>
        <w:trPr/>
        <w:tc>
          <w:tcPr>
            <w:tcW w:w="3470"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pPr>
            <w:r>
              <w:rPr/>
              <w:t> </w:t>
            </w:r>
          </w:p>
        </w:tc>
      </w:tr>
      <w:tr>
        <w:trPr/>
        <w:tc>
          <w:tcPr>
            <w:tcW w:w="3470"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both"/>
              <w:rPr/>
            </w:pPr>
            <w:r>
              <w:rPr/>
              <w:t>Reference:  NMP/CLE/504385.00002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July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the Cayman Islands counsel to the Company in connection with the Company’s prospectus supplement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xml:space="preserve">)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on or about the date hereof pursuant to Rule 424(b) under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forming part of the registration statement on Form F-3 (File No. 333-287686) which was filed with the Commission on 30 May 2025 and declared effective on 13 June 2025, including all amendments or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Prospectus Supplement relates to the Company’s issuance and sale of (i) 300,000 class A ordinary shares (the </w:t>
      </w:r>
      <w:r>
        <w:rPr>
          <w:rFonts w:ascii="Times New Roman;Times;Serif" w:hAnsi="Times New Roman;Times;Serif"/>
          <w:b/>
          <w:i w:val="false"/>
          <w:caps w:val="false"/>
          <w:smallCaps w:val="false"/>
          <w:sz w:val="20"/>
        </w:rPr>
        <w:t>Class A Shares</w:t>
      </w:r>
      <w:r>
        <w:rPr>
          <w:rFonts w:ascii="Times New Roman;Times;Serif" w:hAnsi="Times New Roman;Times;Serif"/>
          <w:b w:val="false"/>
          <w:i w:val="false"/>
          <w:caps w:val="false"/>
          <w:smallCaps w:val="false"/>
          <w:sz w:val="20"/>
        </w:rPr>
        <w:t xml:space="preserve">) of US$0.32 par value each of the Company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xml:space="preserve">) and (ii) 9,700,000 pre-funded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xml:space="preserve">) to purchase up to 9,700,000 Class A Shares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xml:space="preserve"> together with the Shares, the </w:t>
      </w:r>
      <w:r>
        <w:rPr>
          <w:rFonts w:ascii="Times New Roman;Times;Serif" w:hAnsi="Times New Roman;Times;Serif"/>
          <w:b/>
          <w:i w:val="false"/>
          <w:caps w:val="false"/>
          <w:smallCaps w:val="false"/>
          <w:sz w:val="20"/>
        </w:rPr>
        <w:t>Offer Shares</w:t>
      </w:r>
      <w:r>
        <w:rPr>
          <w:rFonts w:ascii="Times New Roman;Times;Serif" w:hAnsi="Times New Roman;Times;Serif"/>
          <w:b w:val="false"/>
          <w:i w:val="false"/>
          <w:caps w:val="false"/>
          <w:smallCaps w:val="false"/>
          <w:sz w:val="20"/>
        </w:rPr>
        <w:t xml:space="preserve">) to certain investors (the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 xml:space="preserve">) as set out in the Registration statement and in accordance with the terms of a securities purchase agreement entered into by and between the Company and the Investors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contrary intention appears, all capitalised terms used in this opinion have the respective meanings set forth in the Registration Statement. A reference to a Schedule is a reference to a schedule to this opinion and the headings herein are for convenience only and do not affect the construction of this opinion.</w:t>
      </w:r>
    </w:p>
    <w:p>
      <w:pPr>
        <w:pStyle w:val="TextBody"/>
        <w:bidi w:val="0"/>
        <w:spacing w:before="0" w:after="0"/>
        <w:ind w:left="720" w:right="0" w:hanging="709"/>
        <w:jc w:val="both"/>
        <w:rPr>
          <w:caps w:val="false"/>
          <w:smallCaps w:val="false"/>
        </w:rPr>
      </w:pPr>
      <w:r>
        <w:rPr>
          <w:caps w:val="false"/>
          <w:smallCaps w:val="false"/>
        </w:rPr>
        <w:t> </w:t>
      </w:r>
    </w:p>
    <w:tbl>
      <w:tblPr>
        <w:tblW w:w="9950" w:type="dxa"/>
        <w:jc w:val="left"/>
        <w:tblInd w:w="0" w:type="dxa"/>
        <w:tblLayout w:type="fixed"/>
        <w:tblCellMar>
          <w:top w:w="0" w:type="dxa"/>
          <w:left w:w="0" w:type="dxa"/>
          <w:bottom w:w="0" w:type="dxa"/>
          <w:right w:w="0" w:type="dxa"/>
        </w:tblCellMar>
      </w:tblPr>
      <w:tblGrid>
        <w:gridCol w:w="3515"/>
        <w:gridCol w:w="1535"/>
        <w:gridCol w:w="1670"/>
        <w:gridCol w:w="3230"/>
      </w:tblGrid>
      <w:tr>
        <w:trPr/>
        <w:tc>
          <w:tcPr>
            <w:tcW w:w="351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advice on British Virgin Islands,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and Guernsey laws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Floor 11 Central Tower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Queen’s Road Central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+852 3656 6000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+852 3656 6001</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ogier.com</w:t>
            </w:r>
          </w:p>
        </w:tc>
        <w:tc>
          <w:tcPr>
            <w:tcW w:w="153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Nicholas Plowman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Nathan Powell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Oakes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Payne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Kate Hodson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Nelson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Joanne Collett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Dennis Li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Cecilia Li</w:t>
            </w:r>
          </w:p>
        </w:tc>
        <w:tc>
          <w:tcPr>
            <w:tcW w:w="16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Yuki Yan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Lin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Wong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Janice Chu</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Zhao Rong Ooi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Huang**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Florence Chan*‡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Bennett**‡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Bergstrom‡</w:t>
            </w:r>
          </w:p>
        </w:tc>
        <w:tc>
          <w:tcPr>
            <w:tcW w:w="32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admitted in New Zealand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admitted in England and Wales</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not ordinarily resident in Hong Kong</w:t>
            </w:r>
          </w:p>
        </w:tc>
      </w:tr>
    </w:tbl>
    <w:p>
      <w:pPr>
        <w:pStyle w:val="TextBody"/>
        <w:bidi w:val="0"/>
        <w:spacing w:before="0" w:after="0"/>
        <w:ind w:left="720" w:right="0" w:hanging="709"/>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4"/>
        <w:gridCol w:w="9501"/>
      </w:tblGrid>
      <w:tr>
        <w:trPr/>
        <w:tc>
          <w:tcPr>
            <w:tcW w:w="704" w:type="dxa"/>
            <w:tcBorders/>
            <w:vAlign w:val="center"/>
          </w:tcPr>
          <w:p>
            <w:pPr>
              <w:pStyle w:val="TableContents"/>
              <w:bidi w:val="0"/>
              <w:spacing w:before="0" w:after="283"/>
              <w:jc w:val="left"/>
              <w:rPr/>
            </w:pPr>
            <w:r>
              <w:rPr/>
              <w:t>1</w:t>
            </w:r>
          </w:p>
        </w:tc>
        <w:tc>
          <w:tcPr>
            <w:tcW w:w="9501" w:type="dxa"/>
            <w:tcBorders/>
            <w:vAlign w:val="center"/>
          </w:tcPr>
          <w:p>
            <w:pPr>
              <w:pStyle w:val="TableContents"/>
              <w:bidi w:val="0"/>
              <w:spacing w:before="0" w:after="283"/>
              <w:jc w:val="both"/>
              <w:rPr/>
            </w:pPr>
            <w:r>
              <w:rPr/>
              <w:t>Documents examined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originals, copies, or drafts of the following documents:</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283"/>
              <w:jc w:val="both"/>
              <w:rPr/>
            </w:pPr>
            <w:r>
              <w:rPr/>
              <w:t xml:space="preserve">the certificate of incorporation of the Company dated 5 August 2022 issued by the Registrar of Companies of the Cayman Islands (the </w:t>
            </w:r>
            <w:r>
              <w:rPr>
                <w:b/>
              </w:rPr>
              <w:t>Registrar</w:t>
            </w:r>
            <w:r>
              <w:rPr/>
              <w: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both"/>
              <w:rPr/>
            </w:pPr>
            <w:r>
              <w:rPr/>
              <w:t xml:space="preserve">the eighth amended and restated memorandum and articles of association of the Company adopted by special resolutions passed on 2 June 2026 (the </w:t>
            </w:r>
            <w:r>
              <w:rPr>
                <w:b/>
              </w:rPr>
              <w:t>Memorandum</w:t>
            </w:r>
            <w:r>
              <w:rPr/>
              <w:t xml:space="preserve"> and </w:t>
            </w:r>
            <w:r>
              <w:rPr>
                <w:b/>
              </w:rPr>
              <w:t>Articles</w:t>
            </w:r>
            <w:r>
              <w:rPr/>
              <w:t>, respectively);</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(c)</w:t>
            </w:r>
          </w:p>
        </w:tc>
        <w:tc>
          <w:tcPr>
            <w:tcW w:w="9912" w:type="dxa"/>
            <w:tcBorders/>
            <w:vAlign w:val="center"/>
          </w:tcPr>
          <w:p>
            <w:pPr>
              <w:pStyle w:val="TableContents"/>
              <w:bidi w:val="0"/>
              <w:spacing w:before="0" w:after="283"/>
              <w:jc w:val="both"/>
              <w:rPr/>
            </w:pPr>
            <w:r>
              <w:rPr/>
              <w:t xml:space="preserve">a certificate of good standing dated 12 May 2026 issued by the Registrar in respect of the Company (the </w:t>
            </w:r>
            <w:r>
              <w:rPr>
                <w:b/>
              </w:rPr>
              <w:t>Good Standing Certificate</w:t>
            </w:r>
            <w:r>
              <w:rPr/>
              <w: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(d)</w:t>
            </w:r>
          </w:p>
        </w:tc>
        <w:tc>
          <w:tcPr>
            <w:tcW w:w="9906" w:type="dxa"/>
            <w:tcBorders/>
            <w:vAlign w:val="center"/>
          </w:tcPr>
          <w:p>
            <w:pPr>
              <w:pStyle w:val="TableContents"/>
              <w:bidi w:val="0"/>
              <w:spacing w:before="0" w:after="283"/>
              <w:jc w:val="both"/>
              <w:rPr/>
            </w:pPr>
            <w:r>
              <w:rPr/>
              <w:t xml:space="preserve">the certificate of incumbency in respect of the Company dated 28 April 2026 issued by the registered agent of the Company (the </w:t>
            </w:r>
            <w:r>
              <w:rPr>
                <w:b/>
              </w:rPr>
              <w:t>Certificate of Incumbency</w:t>
            </w:r>
            <w:r>
              <w:rPr/>
              <w: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(e)</w:t>
            </w:r>
          </w:p>
        </w:tc>
        <w:tc>
          <w:tcPr>
            <w:tcW w:w="9921" w:type="dxa"/>
            <w:tcBorders/>
            <w:vAlign w:val="center"/>
          </w:tcPr>
          <w:p>
            <w:pPr>
              <w:pStyle w:val="TableContents"/>
              <w:bidi w:val="0"/>
              <w:spacing w:before="0" w:after="283"/>
              <w:jc w:val="both"/>
              <w:rPr/>
            </w:pPr>
            <w:r>
              <w:rPr/>
              <w:t xml:space="preserve">a certificate dated on the date hereof as to certain matters of fact signed by a director of the Company in the form annexed hereto (the </w:t>
            </w:r>
            <w:r>
              <w:rPr>
                <w:b/>
              </w:rPr>
              <w:t>Director’s Certificate</w:t>
            </w:r>
            <w:r>
              <w:rPr/>
              <w: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(f)</w:t>
            </w:r>
          </w:p>
        </w:tc>
        <w:tc>
          <w:tcPr>
            <w:tcW w:w="9943" w:type="dxa"/>
            <w:tcBorders/>
            <w:vAlign w:val="center"/>
          </w:tcPr>
          <w:p>
            <w:pPr>
              <w:pStyle w:val="TableContents"/>
              <w:bidi w:val="0"/>
              <w:spacing w:before="0" w:after="283"/>
              <w:jc w:val="both"/>
              <w:rPr/>
            </w:pPr>
            <w:r>
              <w:rPr/>
              <w:t xml:space="preserve">the written resolutions of the board of directors of the Company dated 28 May 2025 and 10 July 2026 (together, the </w:t>
            </w:r>
            <w:r>
              <w:rPr>
                <w:b/>
              </w:rPr>
              <w:t>Board Resolutions</w:t>
            </w:r>
            <w:r>
              <w:rPr/>
              <w: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798"/>
        <w:gridCol w:w="9303"/>
      </w:tblGrid>
      <w:tr>
        <w:trPr/>
        <w:tc>
          <w:tcPr>
            <w:tcW w:w="10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pPr>
            <w:r>
              <w:rPr/>
              <w:t>(g)</w:t>
            </w:r>
          </w:p>
        </w:tc>
        <w:tc>
          <w:tcPr>
            <w:tcW w:w="9303" w:type="dxa"/>
            <w:tcBorders/>
            <w:vAlign w:val="center"/>
          </w:tcPr>
          <w:p>
            <w:pPr>
              <w:pStyle w:val="TableContents"/>
              <w:bidi w:val="0"/>
              <w:spacing w:before="0" w:after="283"/>
              <w:jc w:val="both"/>
              <w:rPr/>
            </w:pPr>
            <w:r>
              <w:rPr/>
              <w:t>the Securities Purchase Agreement;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8"/>
        <w:gridCol w:w="1824"/>
        <w:gridCol w:w="8143"/>
      </w:tblGrid>
      <w:tr>
        <w:trPr/>
        <w:tc>
          <w:tcPr>
            <w:tcW w:w="238"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pPr>
            <w:r>
              <w:rPr/>
              <w:t>(h)</w:t>
            </w:r>
          </w:p>
        </w:tc>
        <w:tc>
          <w:tcPr>
            <w:tcW w:w="8143" w:type="dxa"/>
            <w:tcBorders/>
            <w:vAlign w:val="center"/>
          </w:tcPr>
          <w:p>
            <w:pPr>
              <w:pStyle w:val="TableContents"/>
              <w:bidi w:val="0"/>
              <w:spacing w:before="0" w:after="283"/>
              <w:jc w:val="both"/>
              <w:rPr/>
            </w:pPr>
            <w:r>
              <w:rPr/>
              <w:t>the Warrants;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(i)</w:t>
            </w:r>
          </w:p>
        </w:tc>
        <w:tc>
          <w:tcPr>
            <w:tcW w:w="9949" w:type="dxa"/>
            <w:tcBorders/>
            <w:vAlign w:val="center"/>
          </w:tcPr>
          <w:p>
            <w:pPr>
              <w:pStyle w:val="TableContents"/>
              <w:bidi w:val="0"/>
              <w:spacing w:before="0" w:after="283"/>
              <w:jc w:val="both"/>
              <w:rPr/>
            </w:pPr>
            <w:r>
              <w:rPr/>
              <w:t>the placement agency agreement between Univest Securities, LLC and the Company (</w:t>
            </w:r>
            <w:r>
              <w:rPr>
                <w:b/>
              </w:rPr>
              <w:t>Placement Agency Agreement</w:t>
            </w:r>
            <w:r>
              <w:rPr/>
              <w:t>);</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(items (g) to (i), collectively referred to as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401"/>
        <w:gridCol w:w="9738"/>
      </w:tblGrid>
      <w:tr>
        <w:trPr/>
        <w:tc>
          <w:tcPr>
            <w:tcW w:w="6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pPr>
            <w:r>
              <w:rPr/>
              <w:t>(j)</w:t>
            </w:r>
          </w:p>
        </w:tc>
        <w:tc>
          <w:tcPr>
            <w:tcW w:w="9738" w:type="dxa"/>
            <w:tcBorders/>
            <w:vAlign w:val="center"/>
          </w:tcPr>
          <w:p>
            <w:pPr>
              <w:pStyle w:val="TableContents"/>
              <w:bidi w:val="0"/>
              <w:spacing w:before="0" w:after="283"/>
              <w:jc w:val="both"/>
              <w:rPr/>
            </w:pPr>
            <w:r>
              <w:rPr/>
              <w:t>the Prospectus Supplement and the Registration Statement.</w:t>
            </w:r>
          </w:p>
        </w:tc>
      </w:tr>
    </w:tbl>
    <w:p>
      <w:pPr>
        <w:pStyle w:val="TextBody"/>
        <w:bidi w:val="0"/>
        <w:spacing w:before="0" w:after="0"/>
        <w:ind w:left="720"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3"/>
        <w:gridCol w:w="9092"/>
      </w:tblGrid>
      <w:tr>
        <w:trPr/>
        <w:tc>
          <w:tcPr>
            <w:tcW w:w="1113" w:type="dxa"/>
            <w:tcBorders/>
            <w:vAlign w:val="center"/>
          </w:tcPr>
          <w:p>
            <w:pPr>
              <w:pStyle w:val="TableContents"/>
              <w:bidi w:val="0"/>
              <w:spacing w:before="0" w:after="283"/>
              <w:jc w:val="left"/>
              <w:rPr/>
            </w:pPr>
            <w:r>
              <w:rPr/>
              <w:t>2</w:t>
            </w:r>
          </w:p>
        </w:tc>
        <w:tc>
          <w:tcPr>
            <w:tcW w:w="9092" w:type="dxa"/>
            <w:tcBorders/>
            <w:vAlign w:val="center"/>
          </w:tcPr>
          <w:p>
            <w:pPr>
              <w:pStyle w:val="TableContents"/>
              <w:bidi w:val="0"/>
              <w:spacing w:before="0" w:after="283"/>
              <w:jc w:val="both"/>
              <w:rPr/>
            </w:pPr>
            <w:r>
              <w:rPr/>
              <w:t>Assumptions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this paragraph 2 without having carried out any independent investigation or verification in respect of those assumptions:</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24"/>
        <w:gridCol w:w="9723"/>
      </w:tblGrid>
      <w:tr>
        <w:trPr/>
        <w:tc>
          <w:tcPr>
            <w:tcW w:w="5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pPr>
            <w:r>
              <w:rPr/>
              <w:t>(a)</w:t>
            </w:r>
          </w:p>
        </w:tc>
        <w:tc>
          <w:tcPr>
            <w:tcW w:w="9723" w:type="dxa"/>
            <w:tcBorders/>
            <w:vAlign w:val="center"/>
          </w:tcPr>
          <w:p>
            <w:pPr>
              <w:pStyle w:val="TableContents"/>
              <w:bidi w:val="0"/>
              <w:spacing w:before="0" w:after="283"/>
              <w:jc w:val="both"/>
              <w:rPr/>
            </w:pPr>
            <w:r>
              <w:rPr/>
              <w:t>all original documents examined by us are authentic and complete;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(b)</w:t>
            </w:r>
          </w:p>
        </w:tc>
        <w:tc>
          <w:tcPr>
            <w:tcW w:w="9905" w:type="dxa"/>
            <w:tcBorders/>
            <w:vAlign w:val="center"/>
          </w:tcPr>
          <w:p>
            <w:pPr>
              <w:pStyle w:val="TableContents"/>
              <w:bidi w:val="0"/>
              <w:spacing w:before="0" w:after="283"/>
              <w:jc w:val="both"/>
              <w:rPr/>
            </w:pPr>
            <w:r>
              <w:rPr/>
              <w:t>all copy documents examined by us (whether in facsimile, electronic or other form) conform to the originals and those originals are authentic and complete;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(c)</w:t>
            </w:r>
          </w:p>
        </w:tc>
        <w:tc>
          <w:tcPr>
            <w:tcW w:w="9885" w:type="dxa"/>
            <w:tcBorders/>
            <w:vAlign w:val="center"/>
          </w:tcPr>
          <w:p>
            <w:pPr>
              <w:pStyle w:val="TableContents"/>
              <w:bidi w:val="0"/>
              <w:spacing w:before="0" w:after="283"/>
              <w:jc w:val="both"/>
              <w:rPr/>
            </w:pPr>
            <w:r>
              <w:rPr/>
              <w:t>all signatures, seals, dates, stamps and markings (whether on original or copy documents) are genuine;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(d)</w:t>
            </w:r>
          </w:p>
        </w:tc>
        <w:tc>
          <w:tcPr>
            <w:tcW w:w="9904" w:type="dxa"/>
            <w:tcBorders/>
            <w:vAlign w:val="center"/>
          </w:tcPr>
          <w:p>
            <w:pPr>
              <w:pStyle w:val="TableContents"/>
              <w:bidi w:val="0"/>
              <w:spacing w:before="0" w:after="283"/>
              <w:jc w:val="both"/>
              <w:rPr/>
            </w:pPr>
            <w:r>
              <w:rPr/>
              <w:t>each of the Good Standing Certificate, the Certificate of Incumbency and the Director’s Certificate is accurate and complete as at the date of this opinion;</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(e)</w:t>
            </w:r>
          </w:p>
        </w:tc>
        <w:tc>
          <w:tcPr>
            <w:tcW w:w="9950" w:type="dxa"/>
            <w:tcBorders/>
            <w:vAlign w:val="center"/>
          </w:tcPr>
          <w:p>
            <w:pPr>
              <w:pStyle w:val="TableContents"/>
              <w:bidi w:val="0"/>
              <w:spacing w:before="0" w:after="283"/>
              <w:jc w:val="both"/>
              <w:rPr/>
            </w:pPr>
            <w:r>
              <w:rPr/>
              <w:t>all copies of the documents provided are true and correct copies, and where any Document has been provided to us in draft or undated form, that Document has been executed by all parties in materially the form provided to us and, where we have been provided with successive drafts of a Document marked to show changes from a previous draft, all such changes have been accurately marked;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(f)</w:t>
            </w:r>
          </w:p>
        </w:tc>
        <w:tc>
          <w:tcPr>
            <w:tcW w:w="9982" w:type="dxa"/>
            <w:tcBorders/>
            <w:vAlign w:val="center"/>
          </w:tcPr>
          <w:p>
            <w:pPr>
              <w:pStyle w:val="TableContents"/>
              <w:bidi w:val="0"/>
              <w:spacing w:before="0" w:after="283"/>
              <w:jc w:val="both"/>
              <w:rPr/>
            </w:pPr>
            <w:r>
              <w:rPr/>
              <w:t>each of the parties to the Documents other than the Company is duly incorporated, formed or organised (as applicable), validly existing and in good standing under all relevant laws, and each Document has been duly authorised, executed and unconditionally delivered by or on behalf of all parties to it in accordance with all applicable laws (other than, in the case of the Company, the laws of the Cayman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(g)</w:t>
            </w:r>
          </w:p>
        </w:tc>
        <w:tc>
          <w:tcPr>
            <w:tcW w:w="9940" w:type="dxa"/>
            <w:tcBorders/>
            <w:vAlign w:val="center"/>
          </w:tcPr>
          <w:p>
            <w:pPr>
              <w:pStyle w:val="TableContents"/>
              <w:bidi w:val="0"/>
              <w:spacing w:before="0" w:after="283"/>
              <w:jc w:val="both"/>
              <w:rPr/>
            </w:pPr>
            <w:r>
              <w:rPr/>
              <w:t>the Board Resolutions remain in full force and effect and have not been, and will not be, rescinded or amended, and each of the directors of the Company has acted in good faith with a view to the best interests of the Company and has exercised the standard of care, diligence and skill that is required of him or her in approving the transaction and no director has a financial interest in or other relationship to a party of the transactions contemplated by each Document which has not been properly disclosed in the Board Resolutions;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(h)</w:t>
            </w:r>
          </w:p>
        </w:tc>
        <w:tc>
          <w:tcPr>
            <w:tcW w:w="9916" w:type="dxa"/>
            <w:tcBorders/>
            <w:vAlign w:val="center"/>
          </w:tcPr>
          <w:p>
            <w:pPr>
              <w:pStyle w:val="TableContents"/>
              <w:bidi w:val="0"/>
              <w:spacing w:before="0" w:after="283"/>
              <w:jc w:val="both"/>
              <w:rPr/>
            </w:pPr>
            <w:r>
              <w:rPr/>
              <w:t>neither the directors and shareholders of the Company have taken any steps to appoint a liquidator of the Company and no receiver has been appointed over any of the Company’s property or assets;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89"/>
        <w:gridCol w:w="9876"/>
      </w:tblGrid>
      <w:tr>
        <w:trPr/>
        <w:tc>
          <w:tcPr>
            <w:tcW w:w="4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(a)</w:t>
            </w:r>
          </w:p>
        </w:tc>
        <w:tc>
          <w:tcPr>
            <w:tcW w:w="9876" w:type="dxa"/>
            <w:tcBorders/>
            <w:vAlign w:val="center"/>
          </w:tcPr>
          <w:p>
            <w:pPr>
              <w:pStyle w:val="TableContents"/>
              <w:bidi w:val="0"/>
              <w:spacing w:before="0" w:after="283"/>
              <w:jc w:val="both"/>
              <w:rPr/>
            </w:pPr>
            <w:r>
              <w:rPr/>
              <w:t>the Company will issue the Offer Shares in furtherance of its objects as set out in its Memorandum;</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65"/>
        <w:gridCol w:w="9793"/>
      </w:tblGrid>
      <w:tr>
        <w:trPr/>
        <w:tc>
          <w:tcPr>
            <w:tcW w:w="4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w:t>
            </w:r>
          </w:p>
        </w:tc>
        <w:tc>
          <w:tcPr>
            <w:tcW w:w="9793" w:type="dxa"/>
            <w:tcBorders/>
            <w:vAlign w:val="center"/>
          </w:tcPr>
          <w:p>
            <w:pPr>
              <w:pStyle w:val="TableContents"/>
              <w:bidi w:val="0"/>
              <w:spacing w:before="0" w:after="283"/>
              <w:jc w:val="both"/>
              <w:rPr/>
            </w:pPr>
            <w:r>
              <w:rPr/>
              <w:t>the Offer Shares shall be issued at an issue price in excess of the par value thereof;</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(c)</w:t>
            </w:r>
          </w:p>
        </w:tc>
        <w:tc>
          <w:tcPr>
            <w:tcW w:w="9954" w:type="dxa"/>
            <w:tcBorders/>
            <w:vAlign w:val="center"/>
          </w:tcPr>
          <w:p>
            <w:pPr>
              <w:pStyle w:val="TableContents"/>
              <w:bidi w:val="0"/>
              <w:spacing w:before="0" w:after="283"/>
              <w:jc w:val="both"/>
              <w:rPr/>
            </w:pPr>
            <w:r>
              <w:rPr/>
              <w:t>the form and terms of any and all Offer Shares, the issuance and sale thereof by the Company, and the Company’s incurrence and performance of its obligations thereunder or in respect thereof (including, without limitation, its obligations under any related agreement, indenture or supplement thereto) in accordance with the terms thereof will not violate the memorandum and articles of association of the Company then in effect nor any applicable law, regulation, order or decree in the Cayman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(d)</w:t>
            </w:r>
          </w:p>
        </w:tc>
        <w:tc>
          <w:tcPr>
            <w:tcW w:w="9922" w:type="dxa"/>
            <w:tcBorders/>
            <w:vAlign w:val="center"/>
          </w:tcPr>
          <w:p>
            <w:pPr>
              <w:pStyle w:val="TableContents"/>
              <w:bidi w:val="0"/>
              <w:spacing w:before="0" w:after="283"/>
              <w:jc w:val="both"/>
              <w:rPr/>
            </w:pPr>
            <w:r>
              <w:rPr/>
              <w:t>no invitation has been or will be made by or on behalf of the Company to the public in the Cayman Islands to subscribe for any Offer Shares and none of the Offer Shares have been offered or issued to residents of the Cayman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(e)</w:t>
            </w:r>
          </w:p>
        </w:tc>
        <w:tc>
          <w:tcPr>
            <w:tcW w:w="9949" w:type="dxa"/>
            <w:tcBorders/>
            <w:vAlign w:val="center"/>
          </w:tcPr>
          <w:p>
            <w:pPr>
              <w:pStyle w:val="TableContents"/>
              <w:bidi w:val="0"/>
              <w:spacing w:before="0" w:after="283"/>
              <w:jc w:val="both"/>
              <w:rPr/>
            </w:pPr>
            <w:r>
              <w:rPr/>
              <w:t>all necessary corporate action will be taken to authorize and approve any issuance of Offer Shares and the terms of the offering of such Offer Shares thereof and any other related matters and that the applicable definitive purchase, underwriting or similar agreement will be duly approved, executed and delivered by or on behalf of the Company and all other parties thereto;</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(f)</w:t>
            </w:r>
          </w:p>
        </w:tc>
        <w:tc>
          <w:tcPr>
            <w:tcW w:w="9951" w:type="dxa"/>
            <w:tcBorders/>
            <w:vAlign w:val="center"/>
          </w:tcPr>
          <w:p>
            <w:pPr>
              <w:pStyle w:val="TableContents"/>
              <w:bidi w:val="0"/>
              <w:spacing w:before="0" w:after="283"/>
              <w:jc w:val="both"/>
              <w:rPr/>
            </w:pPr>
            <w:r>
              <w:rPr/>
              <w:t>upon the issue of any Offer Shares, the Company will receive consideration for the full issue price thereof which shall be equal to at least the par value thereof;</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(g)</w:t>
            </w:r>
          </w:p>
        </w:tc>
        <w:tc>
          <w:tcPr>
            <w:tcW w:w="9943" w:type="dxa"/>
            <w:tcBorders/>
            <w:vAlign w:val="center"/>
          </w:tcPr>
          <w:p>
            <w:pPr>
              <w:pStyle w:val="TableContents"/>
              <w:bidi w:val="0"/>
              <w:spacing w:before="0" w:after="283"/>
              <w:jc w:val="both"/>
              <w:rPr/>
            </w:pPr>
            <w:r>
              <w:rPr/>
              <w:t>the Documents will be duly executed in substantially the same form as reviewed by us by the Company’s duly authorised signatory for and on behalf of the Company in accordance with the Board Resolutions and will be duly executed and unconditionally delivered by other respective parties thereto in accordance with all relevant laws, on or prior to the issuance of the Offer Shares and the Warrants, and that such execution and delivery and the performance of the obligations contained therein will be within the capacity and powers of, and will be legal, valid, binding and enforceable against, all relevant parties in accordance with their terms under all relevant laws;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(h)</w:t>
            </w:r>
          </w:p>
        </w:tc>
        <w:tc>
          <w:tcPr>
            <w:tcW w:w="9928" w:type="dxa"/>
            <w:tcBorders/>
            <w:vAlign w:val="center"/>
          </w:tcPr>
          <w:p>
            <w:pPr>
              <w:pStyle w:val="TableContents"/>
              <w:bidi w:val="0"/>
              <w:spacing w:before="0" w:after="283"/>
              <w:jc w:val="both"/>
              <w:rPr/>
            </w:pPr>
            <w:r>
              <w:rPr/>
              <w:t>the capacity, power and authority of all parties other than the Company to enter into and perform their obligations under any and all documents entered into by such parties in connection with the issuance of the Offer Shares, and the due execution and delivery thereof by each party thereto;</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(i)</w:t>
            </w:r>
          </w:p>
        </w:tc>
        <w:tc>
          <w:tcPr>
            <w:tcW w:w="9992" w:type="dxa"/>
            <w:tcBorders/>
            <w:vAlign w:val="center"/>
          </w:tcPr>
          <w:p>
            <w:pPr>
              <w:pStyle w:val="TableContents"/>
              <w:bidi w:val="0"/>
              <w:spacing w:before="0" w:after="283"/>
              <w:jc w:val="both"/>
              <w:rPr/>
            </w:pPr>
            <w:r>
              <w:rPr/>
              <w:t>no monies paid to or for the account of any party under the Documents or the consummation of the transactions contemplated thereby represent or will represent proceeds of criminal conduct or criminal property or terrorist property (as defined in the Proceeds of Crime Act (As Revised) and the Terrorism Act (As Revised), respectively);</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(j)</w:t>
            </w:r>
          </w:p>
        </w:tc>
        <w:tc>
          <w:tcPr>
            <w:tcW w:w="9961" w:type="dxa"/>
            <w:tcBorders/>
            <w:vAlign w:val="center"/>
          </w:tcPr>
          <w:p>
            <w:pPr>
              <w:pStyle w:val="TableContents"/>
              <w:bidi w:val="0"/>
              <w:spacing w:before="0" w:after="283"/>
              <w:jc w:val="both"/>
              <w:rPr/>
            </w:pPr>
            <w:r>
              <w:rPr/>
              <w:t>the Company is, and after the allotment (where applicable) and issuance of any Offer Shares will be, able to pay its liabilities as they fall due;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(k)</w:t>
            </w:r>
          </w:p>
        </w:tc>
        <w:tc>
          <w:tcPr>
            <w:tcW w:w="9907" w:type="dxa"/>
            <w:tcBorders/>
            <w:vAlign w:val="center"/>
          </w:tcPr>
          <w:p>
            <w:pPr>
              <w:pStyle w:val="TableContents"/>
              <w:bidi w:val="0"/>
              <w:spacing w:before="0" w:after="283"/>
              <w:jc w:val="both"/>
              <w:rPr/>
            </w:pPr>
            <w:r>
              <w:rPr/>
              <w:t>there is no provision of the law of any jurisdiction, other than the Cayman Islands, which would have any implication in relation to the opinions expressed herein.</w:t>
            </w:r>
          </w:p>
        </w:tc>
      </w:tr>
    </w:tbl>
    <w:p>
      <w:pPr>
        <w:pStyle w:val="TextBody"/>
        <w:bidi w:val="0"/>
        <w:spacing w:before="0" w:after="0"/>
        <w:ind w:left="720"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2"/>
        <w:gridCol w:w="8713"/>
      </w:tblGrid>
      <w:tr>
        <w:trPr/>
        <w:tc>
          <w:tcPr>
            <w:tcW w:w="1492" w:type="dxa"/>
            <w:tcBorders/>
            <w:vAlign w:val="center"/>
          </w:tcPr>
          <w:p>
            <w:pPr>
              <w:pStyle w:val="TableContents"/>
              <w:bidi w:val="0"/>
              <w:spacing w:before="0" w:after="283"/>
              <w:jc w:val="left"/>
              <w:rPr/>
            </w:pPr>
            <w:r>
              <w:rPr/>
              <w:t>3</w:t>
            </w:r>
          </w:p>
        </w:tc>
        <w:tc>
          <w:tcPr>
            <w:tcW w:w="8713" w:type="dxa"/>
            <w:tcBorders/>
            <w:vAlign w:val="center"/>
          </w:tcPr>
          <w:p>
            <w:pPr>
              <w:pStyle w:val="TableContents"/>
              <w:bidi w:val="0"/>
              <w:spacing w:before="0" w:after="283"/>
              <w:jc w:val="both"/>
              <w:rPr/>
            </w:pPr>
            <w:r>
              <w:rPr/>
              <w:t>Opinions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examinations and assumptions referred to above and subject to the qualifications and the limitations set forth below, we are of the opinion that: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status</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(a)</w:t>
            </w:r>
          </w:p>
        </w:tc>
        <w:tc>
          <w:tcPr>
            <w:tcW w:w="9910" w:type="dxa"/>
            <w:tcBorders/>
            <w:vAlign w:val="center"/>
          </w:tcPr>
          <w:p>
            <w:pPr>
              <w:pStyle w:val="TableContents"/>
              <w:bidi w:val="0"/>
              <w:spacing w:before="0" w:after="283"/>
              <w:jc w:val="both"/>
              <w:rPr/>
            </w:pPr>
            <w:r>
              <w:rPr/>
              <w:t>The Company has been duly incorporated as an exempted company and is validly existing and in good standing with the Registrar.</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 capital</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(b)</w:t>
            </w:r>
          </w:p>
        </w:tc>
        <w:tc>
          <w:tcPr>
            <w:tcW w:w="9925" w:type="dxa"/>
            <w:tcBorders/>
            <w:vAlign w:val="center"/>
          </w:tcPr>
          <w:p>
            <w:pPr>
              <w:pStyle w:val="TableContents"/>
              <w:bidi w:val="0"/>
              <w:spacing w:before="0" w:after="283"/>
              <w:jc w:val="both"/>
              <w:rPr/>
            </w:pPr>
            <w:r>
              <w:rPr/>
              <w:t>The authorised share capital of the Company is US$35,200,000,000,000 divided into (i) 100,000,000,000,000 Class A ordinary shares of US$0.32 par value each and (ii) 10,000,000,000,000 Class B ordinary shares of US$0.32 par value each.</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 Issuance of Offer Shares</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(c)</w:t>
            </w:r>
          </w:p>
        </w:tc>
        <w:tc>
          <w:tcPr>
            <w:tcW w:w="9920" w:type="dxa"/>
            <w:tcBorders/>
            <w:vAlign w:val="center"/>
          </w:tcPr>
          <w:p>
            <w:pPr>
              <w:pStyle w:val="TableContents"/>
              <w:bidi w:val="0"/>
              <w:spacing w:before="0" w:after="283"/>
              <w:jc w:val="both"/>
              <w:rPr/>
            </w:pPr>
            <w:r>
              <w:rPr/>
              <w:t>The Shares to be issued pursuant to the Securities Purchase Agreement have been duly authorised by board of directors of the Company for issue and when:</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(i)</w:t>
            </w:r>
          </w:p>
        </w:tc>
        <w:tc>
          <w:tcPr>
            <w:tcW w:w="9943" w:type="dxa"/>
            <w:tcBorders/>
            <w:vAlign w:val="center"/>
          </w:tcPr>
          <w:p>
            <w:pPr>
              <w:pStyle w:val="TableContents"/>
              <w:bidi w:val="0"/>
              <w:spacing w:before="0" w:after="283"/>
              <w:jc w:val="both"/>
              <w:rPr/>
            </w:pPr>
            <w:r>
              <w:rPr/>
              <w:t>the Company has duly executed the Securities Purchase Agreement in accordance with the Board Resolutions;</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(ii)</w:t>
            </w:r>
          </w:p>
        </w:tc>
        <w:tc>
          <w:tcPr>
            <w:tcW w:w="9895" w:type="dxa"/>
            <w:tcBorders/>
            <w:vAlign w:val="center"/>
          </w:tcPr>
          <w:p>
            <w:pPr>
              <w:pStyle w:val="TableContents"/>
              <w:bidi w:val="0"/>
              <w:spacing w:before="0" w:after="283"/>
              <w:jc w:val="both"/>
              <w:rPr/>
            </w:pPr>
            <w:r>
              <w:rPr/>
              <w:t>all provisions of the Memorandum and Articles, the Securities Purchase Agreement and the Board Resolutions have been satisfied;</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9"/>
        <w:gridCol w:w="9849"/>
      </w:tblGrid>
      <w:tr>
        <w:trPr/>
        <w:tc>
          <w:tcPr>
            <w:tcW w:w="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(iii)</w:t>
            </w:r>
          </w:p>
        </w:tc>
        <w:tc>
          <w:tcPr>
            <w:tcW w:w="9849" w:type="dxa"/>
            <w:tcBorders/>
            <w:vAlign w:val="center"/>
          </w:tcPr>
          <w:p>
            <w:pPr>
              <w:pStyle w:val="TableContents"/>
              <w:bidi w:val="0"/>
              <w:spacing w:before="0" w:after="283"/>
              <w:jc w:val="both"/>
              <w:rPr/>
            </w:pPr>
            <w:r>
              <w:rPr/>
              <w:t>full payment of consideration as specified in the Securities Purchase Agreement (being not be less than the par value per Share) has been received by the Company; and</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5"/>
        <w:gridCol w:w="9823"/>
      </w:tblGrid>
      <w:tr>
        <w:trPr/>
        <w:tc>
          <w:tcPr>
            <w:tcW w:w="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(iv)</w:t>
            </w:r>
          </w:p>
        </w:tc>
        <w:tc>
          <w:tcPr>
            <w:tcW w:w="9823" w:type="dxa"/>
            <w:tcBorders/>
            <w:vAlign w:val="center"/>
          </w:tcPr>
          <w:p>
            <w:pPr>
              <w:pStyle w:val="TableContents"/>
              <w:bidi w:val="0"/>
              <w:spacing w:before="0" w:after="283"/>
              <w:jc w:val="both"/>
              <w:rPr/>
            </w:pPr>
            <w:r>
              <w:rPr/>
              <w:t>such issuance of Shares have been duly registered in the Company’s register of members as fully paid shares,</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be validly issued, fully paid and non-assessable.</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(d)</w:t>
            </w:r>
          </w:p>
        </w:tc>
        <w:tc>
          <w:tcPr>
            <w:tcW w:w="9882" w:type="dxa"/>
            <w:tcBorders/>
            <w:vAlign w:val="center"/>
          </w:tcPr>
          <w:p>
            <w:pPr>
              <w:pStyle w:val="TableContents"/>
              <w:bidi w:val="0"/>
              <w:spacing w:before="0" w:after="283"/>
              <w:jc w:val="both"/>
              <w:rPr/>
            </w:pPr>
            <w:r>
              <w:rPr/>
              <w:t>The Warrant Shares to be issued pursuant to the Warrants have been duly authorised for issuance, and when:</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(i)</w:t>
            </w:r>
          </w:p>
        </w:tc>
        <w:tc>
          <w:tcPr>
            <w:tcW w:w="9995" w:type="dxa"/>
            <w:tcBorders/>
            <w:vAlign w:val="center"/>
          </w:tcPr>
          <w:p>
            <w:pPr>
              <w:pStyle w:val="TableContents"/>
              <w:bidi w:val="0"/>
              <w:spacing w:before="0" w:after="283"/>
              <w:jc w:val="both"/>
              <w:rPr/>
            </w:pPr>
            <w:r>
              <w:rPr/>
              <w:t>issued by the Company upon due exercise of the Warrants in accordance with the terms thereof, the Registration Statement, the provisions of the memorandum and articles of association of the Company then in effect and the Board Resolutions, and once consideration as stated in the relevant Documents, which shall not be less than the par value per Warrant Share, is paid; and</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(ii)</w:t>
            </w:r>
          </w:p>
        </w:tc>
        <w:tc>
          <w:tcPr>
            <w:tcW w:w="9887" w:type="dxa"/>
            <w:tcBorders/>
            <w:vAlign w:val="center"/>
          </w:tcPr>
          <w:p>
            <w:pPr>
              <w:pStyle w:val="TableContents"/>
              <w:bidi w:val="0"/>
              <w:spacing w:before="0" w:after="283"/>
              <w:jc w:val="both"/>
              <w:rPr/>
            </w:pPr>
            <w:r>
              <w:rPr/>
              <w:t>such issuance of Warrant Shares has been duly registered in the Company’s register of members as fully paid shares,</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be validly issued, fully paid and non-assessable.</w:t>
      </w:r>
    </w:p>
    <w:p>
      <w:pPr>
        <w:pStyle w:val="TextBody"/>
        <w:bidi w:val="0"/>
        <w:spacing w:before="0" w:after="0"/>
        <w:ind w:left="720"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0"/>
        <w:gridCol w:w="9685"/>
      </w:tblGrid>
      <w:tr>
        <w:trPr/>
        <w:tc>
          <w:tcPr>
            <w:tcW w:w="520" w:type="dxa"/>
            <w:tcBorders/>
            <w:vAlign w:val="center"/>
          </w:tcPr>
          <w:p>
            <w:pPr>
              <w:pStyle w:val="TableContents"/>
              <w:bidi w:val="0"/>
              <w:spacing w:before="0" w:after="283"/>
              <w:jc w:val="left"/>
              <w:rPr/>
            </w:pPr>
            <w:r>
              <w:rPr/>
              <w:t>4</w:t>
            </w:r>
          </w:p>
        </w:tc>
        <w:tc>
          <w:tcPr>
            <w:tcW w:w="9685" w:type="dxa"/>
            <w:tcBorders/>
            <w:vAlign w:val="center"/>
          </w:tcPr>
          <w:p>
            <w:pPr>
              <w:pStyle w:val="TableContents"/>
              <w:bidi w:val="0"/>
              <w:spacing w:before="0" w:after="283"/>
              <w:jc w:val="both"/>
              <w:rPr/>
            </w:pPr>
            <w:r>
              <w:rPr/>
              <w:t>Limitations and Qualifications</w:t>
            </w:r>
          </w:p>
        </w:tc>
      </w:tr>
    </w:tbl>
    <w:p>
      <w:pPr>
        <w:pStyle w:val="TextBody"/>
        <w:bidi w:val="0"/>
        <w:spacing w:before="0" w:after="0"/>
        <w:ind w:left="720"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4"/>
        <w:gridCol w:w="8751"/>
      </w:tblGrid>
      <w:tr>
        <w:trPr/>
        <w:tc>
          <w:tcPr>
            <w:tcW w:w="1454" w:type="dxa"/>
            <w:tcBorders/>
            <w:vAlign w:val="center"/>
          </w:tcPr>
          <w:p>
            <w:pPr>
              <w:pStyle w:val="TableContents"/>
              <w:bidi w:val="0"/>
              <w:spacing w:before="0" w:after="283"/>
              <w:jc w:val="left"/>
              <w:rPr/>
            </w:pPr>
            <w:r>
              <w:rPr/>
              <w:t>4.1</w:t>
            </w:r>
          </w:p>
        </w:tc>
        <w:tc>
          <w:tcPr>
            <w:tcW w:w="8751" w:type="dxa"/>
            <w:tcBorders/>
            <w:vAlign w:val="center"/>
          </w:tcPr>
          <w:p>
            <w:pPr>
              <w:pStyle w:val="TableContents"/>
              <w:bidi w:val="0"/>
              <w:spacing w:before="0" w:after="283"/>
              <w:jc w:val="both"/>
              <w:rPr/>
            </w:pPr>
            <w:r>
              <w:rPr/>
              <w:t>We offer no opinion:</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t>as to any laws other than the laws of the Cayman Islands, and we have not, for the purposes of this opinion, made any investigation of the laws of any other jurisdiction, and we express no opinion as to the meaning, validity, or effect of references in the Documents to statutes, rules, regulations, codes or judicial authority of any jurisdiction other than the Cayman Islands; or</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except to the extent that this opinion expressly provides otherwise, as to the commercial terms of, or the validity, enforceability or effect of the Documents reviewed (or as to how the commercial terms of such Documents reflect the intentions of the parties), the accuracy of representations, the fulfilment of warranties or conditions, the occurrence of events of default or terminating events or the existence of any conflicts or inconsistencies among the Documents and any other agreements into which the Company may have entered or any other documents;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(c)</w:t>
            </w:r>
          </w:p>
        </w:tc>
        <w:tc>
          <w:tcPr>
            <w:tcW w:w="9944" w:type="dxa"/>
            <w:tcBorders/>
            <w:vAlign w:val="center"/>
          </w:tcPr>
          <w:p>
            <w:pPr>
              <w:pStyle w:val="TableContents"/>
              <w:bidi w:val="0"/>
              <w:spacing w:before="0" w:after="283"/>
              <w:jc w:val="both"/>
              <w:rPr/>
            </w:pPr>
            <w:r>
              <w:rPr/>
              <w:t>as to whether the acceptance, execution or performance of the Company’s obligations under the documents reviewed by us will result in the breach of or infringe any other agreement, deed or document (other than the Memorandum and Articles) entered into by or binding on the Company.</w:t>
            </w:r>
          </w:p>
        </w:tc>
      </w:tr>
    </w:tbl>
    <w:p>
      <w:pPr>
        <w:pStyle w:val="TextBody"/>
        <w:bidi w:val="0"/>
        <w:spacing w:before="0" w:after="0"/>
        <w:ind w:left="720"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4.2</w:t>
            </w:r>
          </w:p>
        </w:tc>
        <w:tc>
          <w:tcPr>
            <w:tcW w:w="9871" w:type="dxa"/>
            <w:tcBorders/>
            <w:vAlign w:val="center"/>
          </w:tcPr>
          <w:p>
            <w:pPr>
              <w:pStyle w:val="TableContents"/>
              <w:bidi w:val="0"/>
              <w:spacing w:before="0" w:after="283"/>
              <w:jc w:val="both"/>
              <w:rPr/>
            </w:pPr>
            <w:r>
              <w:rPr/>
              <w:t xml:space="preserve">Under the Companies Act (Revised) (the </w:t>
            </w:r>
            <w:r>
              <w:rPr>
                <w:b/>
              </w:rPr>
              <w:t>Companies Act</w:t>
            </w:r>
            <w:r>
              <w:rPr/>
              <w:t>) of the Cayman Islands annual returns in respect of the Company must be filed with the Registrar of Companies in the Cayman Islands,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tc>
      </w:tr>
    </w:tbl>
    <w:p>
      <w:pPr>
        <w:pStyle w:val="TextBody"/>
        <w:bidi w:val="0"/>
        <w:spacing w:before="0" w:after="0"/>
        <w:ind w:left="720"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4.3</w:t>
            </w:r>
          </w:p>
        </w:tc>
        <w:tc>
          <w:tcPr>
            <w:tcW w:w="9871" w:type="dxa"/>
            <w:tcBorders/>
            <w:vAlign w:val="center"/>
          </w:tcPr>
          <w:p>
            <w:pPr>
              <w:pStyle w:val="TableContents"/>
              <w:bidi w:val="0"/>
              <w:spacing w:before="0" w:after="283"/>
              <w:jc w:val="both"/>
              <w:rPr/>
            </w:pPr>
            <w:r>
              <w:rPr/>
              <w:t xml:space="preserve">In </w:t>
            </w:r>
            <w:r>
              <w:rPr>
                <w:b/>
              </w:rPr>
              <w:t>good standing</w:t>
            </w:r>
            <w:r>
              <w:rPr/>
              <w:t xml:space="preserve"> means only that as of the date of the Good Standing Certificate the Company is up-to-date with the filing of its annual returns and payment of annual fees with the Registrar of Companies. We have made no enquiries into the Company’s good standing with respect to any filings or payment of fees, or both, that it may be required to make under the laws of the Cayman Islands other than the Companies Act.</w:t>
            </w:r>
          </w:p>
        </w:tc>
      </w:tr>
    </w:tbl>
    <w:p>
      <w:pPr>
        <w:pStyle w:val="TextBody"/>
        <w:bidi w:val="0"/>
        <w:spacing w:before="0" w:after="0"/>
        <w:ind w:left="720"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0"/>
        <w:gridCol w:w="9685"/>
      </w:tblGrid>
      <w:tr>
        <w:trPr/>
        <w:tc>
          <w:tcPr>
            <w:tcW w:w="520" w:type="dxa"/>
            <w:tcBorders/>
            <w:vAlign w:val="center"/>
          </w:tcPr>
          <w:p>
            <w:pPr>
              <w:pStyle w:val="TableContents"/>
              <w:bidi w:val="0"/>
              <w:spacing w:before="0" w:after="283"/>
              <w:jc w:val="left"/>
              <w:rPr/>
            </w:pPr>
            <w:r>
              <w:rPr/>
              <w:t>5</w:t>
            </w:r>
          </w:p>
        </w:tc>
        <w:tc>
          <w:tcPr>
            <w:tcW w:w="9685" w:type="dxa"/>
            <w:tcBorders/>
            <w:vAlign w:val="center"/>
          </w:tcPr>
          <w:p>
            <w:pPr>
              <w:pStyle w:val="TableContents"/>
              <w:bidi w:val="0"/>
              <w:spacing w:before="0" w:after="283"/>
              <w:jc w:val="both"/>
              <w:rPr/>
            </w:pPr>
            <w:r>
              <w:rPr/>
              <w:t>Governing law of this opinion</w:t>
            </w:r>
          </w:p>
        </w:tc>
      </w:tr>
    </w:tbl>
    <w:p>
      <w:pPr>
        <w:pStyle w:val="TextBody"/>
        <w:bidi w:val="0"/>
        <w:spacing w:before="0" w:after="0"/>
        <w:ind w:left="720"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7"/>
        <w:gridCol w:w="8348"/>
      </w:tblGrid>
      <w:tr>
        <w:trPr/>
        <w:tc>
          <w:tcPr>
            <w:tcW w:w="1857" w:type="dxa"/>
            <w:tcBorders/>
            <w:vAlign w:val="center"/>
          </w:tcPr>
          <w:p>
            <w:pPr>
              <w:pStyle w:val="TableContents"/>
              <w:bidi w:val="0"/>
              <w:spacing w:before="0" w:after="283"/>
              <w:jc w:val="left"/>
              <w:rPr/>
            </w:pPr>
            <w:r>
              <w:rPr/>
              <w:t>5.1</w:t>
            </w:r>
          </w:p>
        </w:tc>
        <w:tc>
          <w:tcPr>
            <w:tcW w:w="8348" w:type="dxa"/>
            <w:tcBorders/>
            <w:vAlign w:val="center"/>
          </w:tcPr>
          <w:p>
            <w:pPr>
              <w:pStyle w:val="TableContents"/>
              <w:bidi w:val="0"/>
              <w:spacing w:before="0" w:after="283"/>
              <w:jc w:val="both"/>
              <w:rPr/>
            </w:pPr>
            <w:r>
              <w:rPr/>
              <w:t>This opinion is: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21"/>
        <w:gridCol w:w="9840"/>
      </w:tblGrid>
      <w:tr>
        <w:trPr/>
        <w:tc>
          <w:tcPr>
            <w:tcW w:w="4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(a)</w:t>
            </w:r>
          </w:p>
        </w:tc>
        <w:tc>
          <w:tcPr>
            <w:tcW w:w="9840" w:type="dxa"/>
            <w:tcBorders/>
            <w:vAlign w:val="center"/>
          </w:tcPr>
          <w:p>
            <w:pPr>
              <w:pStyle w:val="TableContents"/>
              <w:bidi w:val="0"/>
              <w:spacing w:before="0" w:after="283"/>
              <w:jc w:val="both"/>
              <w:rPr/>
            </w:pPr>
            <w:r>
              <w:rPr/>
              <w:t>governed by, and shall be construed in accordance with, the laws of the Cayman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622"/>
        <w:gridCol w:w="9502"/>
      </w:tblGrid>
      <w:tr>
        <w:trPr/>
        <w:tc>
          <w:tcPr>
            <w:tcW w:w="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pPr>
            <w:r>
              <w:rPr/>
              <w:t>(b)</w:t>
            </w:r>
          </w:p>
        </w:tc>
        <w:tc>
          <w:tcPr>
            <w:tcW w:w="9502" w:type="dxa"/>
            <w:tcBorders/>
            <w:vAlign w:val="center"/>
          </w:tcPr>
          <w:p>
            <w:pPr>
              <w:pStyle w:val="TableContents"/>
              <w:bidi w:val="0"/>
              <w:spacing w:before="0" w:after="283"/>
              <w:jc w:val="both"/>
              <w:rPr/>
            </w:pPr>
            <w:r>
              <w:rPr/>
              <w:t>limited to the matters expressly stated in it;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(c)</w:t>
            </w:r>
          </w:p>
        </w:tc>
        <w:tc>
          <w:tcPr>
            <w:tcW w:w="9897" w:type="dxa"/>
            <w:tcBorders/>
            <w:vAlign w:val="center"/>
          </w:tcPr>
          <w:p>
            <w:pPr>
              <w:pStyle w:val="TableContents"/>
              <w:bidi w:val="0"/>
              <w:spacing w:before="0" w:after="283"/>
              <w:jc w:val="both"/>
              <w:rPr/>
            </w:pPr>
            <w:r>
              <w:rPr/>
              <w:t>confined to, and given on the basis of, the laws and practice in the Cayman Islands at the date of this opinion.</w:t>
            </w:r>
          </w:p>
        </w:tc>
      </w:tr>
    </w:tbl>
    <w:p>
      <w:pPr>
        <w:pStyle w:val="TextBody"/>
        <w:bidi w:val="0"/>
        <w:spacing w:before="0" w:after="0"/>
        <w:ind w:left="720"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5.2</w:t>
            </w:r>
          </w:p>
        </w:tc>
        <w:tc>
          <w:tcPr>
            <w:tcW w:w="9871" w:type="dxa"/>
            <w:tcBorders/>
            <w:vAlign w:val="center"/>
          </w:tcPr>
          <w:p>
            <w:pPr>
              <w:pStyle w:val="TableContents"/>
              <w:bidi w:val="0"/>
              <w:spacing w:before="0" w:after="283"/>
              <w:jc w:val="both"/>
              <w:rPr/>
            </w:pPr>
            <w:r>
              <w:rPr/>
              <w:t>Unless otherwise indicated, a reference to any specific Cayman Islands legislation is a reference to that legislation as amended to, and as in force at, the date of this opinion.</w:t>
            </w:r>
          </w:p>
        </w:tc>
      </w:tr>
    </w:tbl>
    <w:p>
      <w:pPr>
        <w:pStyle w:val="TextBody"/>
        <w:bidi w:val="0"/>
        <w:spacing w:before="0" w:after="0"/>
        <w:ind w:left="720"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8"/>
        <w:gridCol w:w="8647"/>
      </w:tblGrid>
      <w:tr>
        <w:trPr/>
        <w:tc>
          <w:tcPr>
            <w:tcW w:w="1558" w:type="dxa"/>
            <w:tcBorders/>
            <w:vAlign w:val="center"/>
          </w:tcPr>
          <w:p>
            <w:pPr>
              <w:pStyle w:val="TableContents"/>
              <w:bidi w:val="0"/>
              <w:spacing w:before="0" w:after="283"/>
              <w:jc w:val="left"/>
              <w:rPr/>
            </w:pPr>
            <w:r>
              <w:rPr/>
              <w:t>6</w:t>
            </w:r>
          </w:p>
        </w:tc>
        <w:tc>
          <w:tcPr>
            <w:tcW w:w="8647" w:type="dxa"/>
            <w:tcBorders/>
            <w:vAlign w:val="center"/>
          </w:tcPr>
          <w:p>
            <w:pPr>
              <w:pStyle w:val="TableContents"/>
              <w:bidi w:val="0"/>
              <w:spacing w:before="0" w:after="283"/>
              <w:jc w:val="both"/>
              <w:rPr/>
            </w:pPr>
            <w:r>
              <w:rPr/>
              <w:t>Reliance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Prospectus Supplement and Registration Statement and to the reference to our firm under the headings “</w:t>
      </w:r>
      <w:r>
        <w:rPr>
          <w:rFonts w:ascii="Times New Roman;Times;Serif" w:hAnsi="Times New Roman;Times;Serif"/>
          <w:b w:val="false"/>
          <w:i/>
          <w:caps w:val="false"/>
          <w:smallCaps w:val="false"/>
          <w:sz w:val="20"/>
        </w:rPr>
        <w:t>Legal Matters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Enforceability of Civil Liabilities</w:t>
      </w:r>
      <w:r>
        <w:rPr>
          <w:rFonts w:ascii="Times New Roman;Times;Serif" w:hAnsi="Times New Roman;Times;Serif"/>
          <w:b w:val="false"/>
          <w:i w:val="false"/>
          <w:caps w:val="false"/>
          <w:smallCaps w:val="false"/>
          <w:sz w:val="20"/>
        </w:rPr>
        <w:t>” of the Prospectus Supplement and Registration Statement. In giving such consent, we do not believe that we are “experts” within the meaning of such term used in the Act or the rules and regulations of the Commission issued thereunder with respect to any part of the Prospectus Supplement and Registration Statement, including this opinion as an exhibit or otherwise.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may be used only in connection with the offer and sale of the Offer Shares while the Prospectus Supplement and Registration Statement is effective.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Ogier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6" w:name="ea029775001ex10-1.htm"/>
      <w:bookmarkStart w:id="7" w:name="ksea029775001ex101"/>
      <w:bookmarkEnd w:id="6"/>
      <w:bookmarkEnd w:id="7"/>
      <w:r>
        <w:rPr>
          <w:b/>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July 10, 2026, between Haoxi Health Technology Limited, a company organized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purchaser identified on the signature pages hereto (each, including its successors and assigns,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and (i) pursuant to an effective registration statement under the Securities Act (as defined below) as to the Shares, the Pre-Funded Warrants and the Pre-Funded Warrant Shares,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b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have the meanings set forth in this Section 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shall have the meaning ascribed to such term in Section 4.5.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shall have the meaning ascribed to such term in Section 3.1(j).</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Closing</w:t>
      </w:r>
      <w:r>
        <w:rPr>
          <w:rFonts w:ascii="Times New Roman;Times;Serif" w:hAnsi="Times New Roman;Times;Serif"/>
          <w:b w:val="false"/>
          <w:i w:val="false"/>
          <w:caps w:val="false"/>
          <w:smallCaps w:val="false"/>
          <w:sz w:val="20"/>
        </w:rPr>
        <w:t>” shall have the meaning ascribed to such term in Section 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 A Person shall be regarded as in control of the Company if the Company owns or directly or indirectly controls more than fifty percent (50%) of the voting rights or other ownership interest of the other person, or if it possesses, directly or indirectly, the power to direct or cause the direction of the management and policies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Saturday, Sunday, or other day on which banking institutions in the State of New York are authorized or required by law to remain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closing of the purchase and sale of the Securities pursuant to Section 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Initial Closing Date, the date of each Additional Closing and the Final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Cayman Counsel</w:t>
      </w:r>
      <w:r>
        <w:rPr>
          <w:rFonts w:ascii="Times New Roman;Times;Serif" w:hAnsi="Times New Roman;Times;Serif"/>
          <w:b w:val="false"/>
          <w:i w:val="false"/>
          <w:caps w:val="false"/>
          <w:smallCaps w:val="false"/>
          <w:sz w:val="20"/>
        </w:rPr>
        <w:t>” means Ogier.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PRC Counsel</w:t>
      </w:r>
      <w:r>
        <w:rPr>
          <w:rFonts w:ascii="Times New Roman;Times;Serif" w:hAnsi="Times New Roman;Times;Serif"/>
          <w:b w:val="false"/>
          <w:i w:val="false"/>
          <w:caps w:val="false"/>
          <w:smallCaps w:val="false"/>
          <w:sz w:val="20"/>
        </w:rPr>
        <w:t>” means Sino Pro Law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U.S. Counsel</w:t>
      </w:r>
      <w:r>
        <w:rPr>
          <w:rFonts w:ascii="Times New Roman;Times;Serif" w:hAnsi="Times New Roman;Times;Serif"/>
          <w:b w:val="false"/>
          <w:i w:val="false"/>
          <w:caps w:val="false"/>
          <w:smallCaps w:val="false"/>
          <w:sz w:val="20"/>
        </w:rPr>
        <w:t>” means Hunter Taubman Fischer &amp; Li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Time</w:t>
      </w:r>
      <w:r>
        <w:rPr>
          <w:rFonts w:ascii="Times New Roman;Times;Serif" w:hAnsi="Times New Roman;Times;Serif"/>
          <w:b w:val="false"/>
          <w:i w:val="false"/>
          <w:caps w:val="false"/>
          <w:smallCaps w:val="false"/>
          <w:sz w:val="20"/>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DVP</w:t>
      </w:r>
      <w:r>
        <w:rPr>
          <w:rFonts w:ascii="Times New Roman;Times;Serif" w:hAnsi="Times New Roman;Times;Serif"/>
          <w:b w:val="false"/>
          <w:i w:val="false"/>
          <w:caps w:val="false"/>
          <w:smallCaps w:val="false"/>
          <w:sz w:val="20"/>
        </w:rPr>
        <w:t>” shall have the meaning ascribed to such term in Section 2.1(v).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Issuance</w:t>
      </w:r>
      <w:r>
        <w:rPr>
          <w:rFonts w:ascii="Times New Roman;Times;Serif" w:hAnsi="Times New Roman;Times;Serif"/>
          <w:b w:val="false"/>
          <w:i w:val="false"/>
          <w:caps w:val="false"/>
          <w:smallCaps w:val="false"/>
          <w:sz w:val="20"/>
        </w:rPr>
        <w:t>” means the issuance of means the issuance of (a) Ordinary Shares, restricted share units or options to employees, officers or directors of the Company pursuant to any share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and/or other securities exercisable or exchangeable for or convertible into Ordinary Shares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share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4.12(a) herein, and provided that any such issuance shall only be to a Person (or to the equity 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Closing Date</w:t>
      </w:r>
      <w:r>
        <w:rPr>
          <w:rFonts w:ascii="Times New Roman;Times;Serif" w:hAnsi="Times New Roman;Times;Serif"/>
          <w:b w:val="false"/>
          <w:i w:val="false"/>
          <w:caps w:val="false"/>
          <w:smallCaps w:val="false"/>
          <w:sz w:val="20"/>
        </w:rPr>
        <w:t>” shall mean that date which shall be the earlier of (a) completion of the sale of all Securities or (b) 5:00 p.m. (EDT) on September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accounting principles generally accepted in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shall have the meaning ascribed to such term in Section 3.1(aa).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Closing</w:t>
      </w:r>
      <w:r>
        <w:rPr>
          <w:rFonts w:ascii="Times New Roman;Times;Serif" w:hAnsi="Times New Roman;Times;Serif"/>
          <w:b w:val="false"/>
          <w:i w:val="false"/>
          <w:caps w:val="false"/>
          <w:smallCaps w:val="false"/>
          <w:sz w:val="20"/>
        </w:rPr>
        <w:t>” shall mean the Closing of the sale of Securities on the Initial Closing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have the meaning ascribed to such term in Section 3.1(p).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Agreement</w:t>
      </w:r>
      <w:r>
        <w:rPr>
          <w:rFonts w:ascii="Times New Roman;Times;Serif" w:hAnsi="Times New Roman;Times;Serif"/>
          <w:b w:val="false"/>
          <w:i w:val="false"/>
          <w:caps w:val="false"/>
          <w:smallCaps w:val="false"/>
          <w:sz w:val="20"/>
        </w:rPr>
        <w:t>” means the Lock-Up Agreement, dated as of the date hereof, by and among the Company and the directors and officers of the Company,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have the meaning assigned to such term in Section 3.1(b).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shall have the meaning ascribed to such term in Section 3.1(n).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means Class A ordinary shares of the Company, par value $0.32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Ordinary Shares, including, without limitation, any debt, preferred share, right, option, warrant or other instrument that is at any time convertible into or exercisable or exchangeable for, or otherwise entitles the holder thereof to receive,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Pre-Funded Warrant Purchase Price</w:t>
      </w:r>
      <w:r>
        <w:rPr>
          <w:rFonts w:ascii="Times New Roman;Times;Serif" w:hAnsi="Times New Roman;Times;Serif"/>
          <w:b w:val="false"/>
          <w:i w:val="false"/>
          <w:caps w:val="false"/>
          <w:smallCaps w:val="false"/>
          <w:sz w:val="20"/>
        </w:rPr>
        <w:t>” equals $0.07, subject to adjustment for reverse and forward share splits, share dividends, share combinations and other similar transactions relating to the Ordinary Shares that occur after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equals $0.40, subject to adjustment for reverse and forward share splits, share dividends, share combinations and other similar transactions of Ordinary Shares that occur between the date hereof and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Placement Agent</w:t>
      </w:r>
      <w:r>
        <w:rPr>
          <w:rFonts w:ascii="Times New Roman;Times;Serif" w:hAnsi="Times New Roman;Times;Serif"/>
          <w:b w:val="false"/>
          <w:i w:val="false"/>
          <w:caps w:val="false"/>
          <w:smallCaps w:val="false"/>
          <w:sz w:val="20"/>
        </w:rPr>
        <w:t>” means Univest Securities,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Pre-Funded Warrants</w:t>
      </w:r>
      <w:r>
        <w:rPr>
          <w:rFonts w:ascii="Times New Roman;Times;Serif" w:hAnsi="Times New Roman;Times;Serif"/>
          <w:b w:val="false"/>
          <w:i w:val="false"/>
          <w:caps w:val="false"/>
          <w:smallCaps w:val="false"/>
          <w:sz w:val="20"/>
        </w:rPr>
        <w:t>” means, collectively, the pre-funded Ordinary Share purchase warrants delivered to the Purchasers at the Closing in accordance with Section 2.2(a) hereof,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Pre-Funded Warrant Shares</w:t>
      </w:r>
      <w:r>
        <w:rPr>
          <w:rFonts w:ascii="Times New Roman;Times;Serif" w:hAnsi="Times New Roman;Times;Serif"/>
          <w:b w:val="false"/>
          <w:i w:val="false"/>
          <w:caps w:val="false"/>
          <w:smallCaps w:val="false"/>
          <w:sz w:val="20"/>
        </w:rPr>
        <w:t>” means the Ordinary Shares issuable upon exercise of the Pre-Funded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pending or, to the Company’s knowledge, threatened against the Company before any court, governmental agency or regulatory authority.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final base prospectus filed pursuant to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means the prospectus supplement filed pursuant to the Registration Statement relating to the offering of Securities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shall have the meaning ascribed to such term in Section 4.8.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effective registration statement of the Company on Form F-3 with Commission File No. 333-287686, which registers the sale of the Shares, the Pre-Funded Warrants and Pre-Funded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ascribed to such term in Section 3.1(e).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the Shares, the Pre-Funded Warrants and the Pre-Funded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Ordinary Shares delivered to the Purchasers at Closing in accordance with Section 2.2(a)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means, as to each Purchaser, the aggregate amount to be paid for the Shares and/or Pre-Funded Warrants purchased hereunder as specified below such Purchaser’s name on the signature page of this Agreement and next to the heading “Subscription Amount,” in United States dollars and in immediately available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as set forth in the SEC Reports and shall, where applicable, also include any direct or indirect subsidiary of the Company formed or acquired after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Pre-Funded Warrants, the Lock-Up Agreements, the Placement Agency Agreement and all exhibits and schedules thereto and hereto and any other documents or agreements executed in connection with the transactions contemplated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Transhare Corporation, with a mailing address of 17755 North US Highway 19 Suite 140, Clearwater, FL 33762, and any successor transfer agent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shall have the meaning ascribed to such term in Section 4.10(b).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br/>
        <w:t>PURCHASE AND 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Closing Date, upon the terms and subject to the conditions set forth herein, the Company agrees to sell, and the Purchasers, severally and not jointly, agree to purchase, the aggregate number of Shares set forth under the heading “Subscription Amount” on each Purchaser’s signature page hereto, at the Per Share Purchase Price;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Ordinary Shares, such Purchaser may elect to purchase Pre-Funded Warrants in such manner to result in the full Subscription Amount being paid by such Purchaser to the Company. Provided, further, that to the extent that a Purchaser will beneficially own in excess of 9.99% of the number of Ordinary Shares outstanding immediately after giving effect to the issuance of the Securities on the Closing Date, such Purchaser shall, in lieu of purchasing Shares, purchase Pre-Funded Warrants in such manner to result in such Purchaser not exceeding beneficial ownership of 9.99% and to result in the same aggregate purchase price being paid by such Purchaser to the Company.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9.99% or 4.99% (or, at the election of the Purchaser, 9.99%) of the number of Ordinary Shares, in each case, outstanding immediately after giving effect to the issuance of the Securities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Purchaser’s Subscription Amount as set forth on the signature page hereto executed by such Purchaser shall be made available for Delivery Versus Payment (“</w:t>
      </w:r>
      <w:r>
        <w:rPr>
          <w:rFonts w:ascii="Times New Roman;Times;Serif" w:hAnsi="Times New Roman;Times;Serif"/>
          <w:b w:val="false"/>
          <w:i w:val="false"/>
          <w:caps w:val="false"/>
          <w:smallCaps w:val="false"/>
          <w:sz w:val="20"/>
          <w:u w:val="single"/>
        </w:rPr>
        <w:t>DVP</w:t>
      </w:r>
      <w:r>
        <w:rPr>
          <w:rFonts w:ascii="Times New Roman;Times;Serif" w:hAnsi="Times New Roman;Times;Serif"/>
          <w:b w:val="false"/>
          <w:i w:val="false"/>
          <w:caps w:val="false"/>
          <w:smallCaps w:val="false"/>
          <w:sz w:val="20"/>
        </w:rPr>
        <w:t>”) settlement with the Company or its designees. The Company shall deliver to each Purchaser its respective Shares and Pre-Funded Warrants as determined pursuant to Section 2.2(a), and the Company and each Purchaser shall deliver the other items set forth in Section 2.2 at the Closing. Upon satisfaction of the covenants and conditions set forth in Sections 2.2 and 2.3, the Closing shall occur at the offices of Placement Agent Counsel or such other location as the parties shall mutually agree. Unless otherwise directed by the Placement Agent, settlement of the Shares shall occur via DVP. On the Closing Date, payment for the Shares and/or the Pre-Funded Warrants shall be made by the Placement Agent (or its clearing firm) by wire transfer to the Company; upon receipt of such funds, the Company shall issue the Shares registered in the Purchasers’ names and addresses and released by the Transfer Agent directly to the account(s) identified by each Purchaser. Notwithstanding anything herein to the contrary, if at any time on or after the time of execution of this Agreement by the Company and an applicable Purchaser through the Closing (the “</w:t>
      </w:r>
      <w:r>
        <w:rPr>
          <w:rFonts w:ascii="Times New Roman;Times;Serif" w:hAnsi="Times New Roman;Times;Serif"/>
          <w:b w:val="false"/>
          <w:i w:val="false"/>
          <w:caps w:val="false"/>
          <w:smallCaps w:val="false"/>
          <w:sz w:val="20"/>
          <w:u w:val="single"/>
        </w:rPr>
        <w:t>Pre-Settlement Period</w:t>
      </w:r>
      <w:r>
        <w:rPr>
          <w:rFonts w:ascii="Times New Roman;Times;Serif" w:hAnsi="Times New Roman;Times;Serif"/>
          <w:b w:val="false"/>
          <w:i w:val="false"/>
          <w:caps w:val="false"/>
          <w:smallCaps w:val="false"/>
          <w:sz w:val="20"/>
        </w:rPr>
        <w:t>”), such Purchaser sells to any Person all, or any portion, of any Shares to be issued hereunder to such Purchaser at the Closing (collectively, the “</w:t>
      </w:r>
      <w:r>
        <w:rPr>
          <w:rFonts w:ascii="Times New Roman;Times;Serif" w:hAnsi="Times New Roman;Times;Serif"/>
          <w:b w:val="false"/>
          <w:i w:val="false"/>
          <w:caps w:val="false"/>
          <w:smallCaps w:val="false"/>
          <w:sz w:val="20"/>
          <w:u w:val="single"/>
        </w:rPr>
        <w:t>Pre-Settlement Shares</w:t>
      </w:r>
      <w:r>
        <w:rPr>
          <w:rFonts w:ascii="Times New Roman;Times;Serif" w:hAnsi="Times New Roman;Times;Serif"/>
          <w:b w:val="false"/>
          <w:i w:val="false"/>
          <w:caps w:val="false"/>
          <w:smallCaps w:val="false"/>
          <w:sz w:val="20"/>
        </w:rPr>
        <w:t>”), such Person shall, automatically hereunder (without any additional required actions by such Purchaser or the Company), be deemed to be a Purchaser under this Agreement unconditionally bound to purchase, and the Company shall be deemed unconditionally bound to sell, such Pre-Settlement Shares at the Closing; provided, that the Company shall not be required to deliver any Pre-Settlement Shares to such Purchaser prior to the Company’s receipt of the Subscription Amount for such Pre-Settlement Shares hereunder; provided, further, that the Company hereby acknowledges and agrees that the forgoing shall not constitute a representation or covenant by such Purchaser as to whether or not such Purchaser will elect to sell any Pre-Settlement Shares during the Pre-Settlement Period. The decision to sell any Shares will be made in the sole discretion of such Purchaser from time to time, including during the Pre-Settlement Period.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Initial Closing, the Company and the Placement Agent may hold Additional Closings up to and including the Final Closing Date for all or any portion of the remaining amount of the Purchase Limit not sold at the time of any Additional Closing, provided, however, that such Additional Closings must occur no later than the Final Closing Date. Anything herein to the contrary notwithstanding, the Company may at its sole option upon written notice to the Placement Agent and the Purchasers, cancel any Additional Closing without liability hereunder or under any Transaction Document.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each Purchaser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legal opinion of each of Company U.S. Counsel, Company PRC Counsel and Company Cayman Counsel, each in a form reasonably acceptable to the Purchasers and the Placement Agent;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Company’s wire instructions, on Company letterhead and executed by the Company’s Chief Executive Officer or Chief Financial Officer;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subject to Section 2.1, a copy of the irrevocable instructions to the Transfer Agent instructing the Transfer Agent to deliver on an expedited basis via The Depository Trust Company Deposit or Withdrawal at Custodian system (“DWAC”) Ordinary Shares equal to the portion of such Purchaser’s Subscription Amount divided by the Per Share Purchase Price, registered in the name of such Purchaser;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Prospectus and the Prospectus Supplement (which may be delivered in accordance with Rule 172 under the Securities Act);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for each Purchaser of Pre-Funded Warrants pursuant to Section 2.1, a Pre-Funded Warrant registered in the name of such Purchaser to purchase up to a number of Ordinary Shares equal to the portion of such Purchaser’s Subscription Amount applicable to Pre-Funded Warrants divided by the Per Pre-Funded Warrant Purchase Price, subject to adjustment as specified therein;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certificate executed by the Company’s Chief Financial Officer of the Company, dated as of the date of Closing, in form and substance reasonable acceptable to the Purchasers and Placement Agent;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Secretary’s certificate executed by an officer of the Company, dated as of the date of Closing, in form and substance reasonable acceptable to the Purchasers and Placement Agent;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executed Lock-Up Agreements;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documents reasonably requested by the Purchasers and Placement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Purchaser shall deliver or cause to be delivered to the Company,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Purchaser;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Purchaser’s Subscription Amount with respect to the Securities purchased by such Purchaser, which shall be made available for DVP settlement with the Company or its designees.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are subject to the following conditions being met: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each Purchaser required to be performed at or prior to the Closing Date shall have been performed;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each Purchaser of the items set forth in Section 2.2(b) of this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Purchasers hereunder in connection with the Closing are subject to the following conditions being met: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the Company of the items set forth in Section 2.2(a) of this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delivery by the Company to the Placement Agent of copies of the executed Lock-Up Agreements;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there shall have been no Material Adverse Effect with respect to the Company since the date hereof;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from the date hereof to the Closing Date, trading in the Ordinary Shares shall not have been suspended by the Commission or any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New York State or Israeli authorities nor shall there have occurred after the date of this Agreement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Additional Allocation. The Company hereby acknowledges and agrees that each Purchaser, severally, has the right to elect to purchase up to 100% of the number of Shares and/or Pre-Funded Warrants (the “Purchase Limit”) each Purchaser purchased at the Initial Closing (the “Additional Allocation”) on or before the Final Closing Date (the “Additional Allocation Period”) at the Per Share Purchase Price by delivery of one or more written notices (each, an “Additional Allocation Election Notice”) to the Company during such Additional Allocation Period (each, an “Additional Closing”). Each Additional Closing shall occur on the first (1st) Trading Day after such applicable Additional Allocation Election Notice and, subject to Section 5.21 below, as applicable, in accordance with Sections 2.2 and 2.3 hereof (with “Additional Closing” replacing “Closing” therein with respect thereto).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br/>
        <w:t>REPRESENTATIONS AND WARRANTIES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set forth in the Disclosure Schedules, which Disclosure Schedules shall be deemed a part hereof and shall qualify any representation made herein to the extent of the disclosures contained in the corresponding section of the Disclosure Schedules, the Company hereby makes the following representations and warranties to each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on Schedule 3.1(a).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if applicable under the laws of the jurisdiction in which they are formed,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memorandum of association, articles of association, certificate or articles of incorporation, bylaws, operating agreement,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provided that a change in market price or trading volume of the Ordinary Shares alone shall not be deemed, in and of itself, to constitute a Material Adverse Effect. No Proceeding has been instituted in any such jurisdiction revoking, limiting or curtailing or seeking to revoke, limit or curtail such power and authority or qualification.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a committee of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memorandum of association, articles of association, certificate or articles of incorporation, bylaws, operating agreement,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notices and/or application(s) to and approvals by each applicable Trading Market for the listing of the applicable Securities for trading thereon in the time and manner required thereby, (iv) the filing of Form D with the Commission and (v) such filings as are required to be made under applicable state securities laws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Issuance of the Securities; Registration</w:t>
      </w:r>
      <w:r>
        <w:rPr>
          <w:rFonts w:ascii="Times New Roman;Times;Serif" w:hAnsi="Times New Roman;Times;Serif"/>
          <w:b w:val="false"/>
          <w:i w:val="false"/>
          <w:caps w:val="false"/>
          <w:smallCaps w:val="false"/>
          <w:sz w:val="20"/>
        </w:rPr>
        <w:t>. The Shares and Pre-Funded Warrant Shares are duly authorized and, when issued and paid for in accordance with the applicable Transaction Documents, will be duly and validly issued, fully paid and non-assessable, free and clear of all Liens imposed by the Company. The Company has prepared and filed the Registration Statement in conformity with the requirements of the Securities Act, which Registration Statement became effective on June 13, 2025,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 At the time the Registration Statement and any amendments thereto became effective as determined under the Securities Act,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is a “foreign private issuer” as defined in Rule 405 of Regulation C under the Securities Act and Rule 3b-4 under the Exchange Act. The Company is eligible to use Form F-3 under the Securities Act and it meets the transaction requirements with respect to the aggregate market value of securities being sold pursuant to this offering, as set forth in General Instruction I.B.1 of Form F-3.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equity capitalization of the Company as of the date hereof is as set forth on Schedule 3.1(g), which Schedule 3.1(g) shall also include the number of Ordinary Shares owned beneficially, and of record, by Affiliates of the Company as of the date hereof. Except as set forth on Schedule 3.1(g), the Company has not issued any capital stock since its most recently filed periodic report under the Exchange Act. No Person has any right of first refusal, preemptive right, right of participation, or any similar right to participate in the transactions contemplated by the Transaction Documents. Except as disclosed on Schedule 3.1(g) and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contracts, commitments, understandings or arrangements by which the Company or any Subsidiary is or may become bound to issue additional Ordinary Shares or Ordinary Share Equivalents. The issuance and sale of the Securities will not obligate the Company or any Subsidiary to issue Ordinary Shares or other securities to any Person (other than the Purchasers). There are no outstanding securities or instruments of the Company or any Subsidiary with any provision that adjusts the exercise, conversion, exchange or reset price under any of such securities.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share appreciation rights or “phantom share” plans or agreements or any similar plan or agreement. All of the outstanding Ordinary Shares of the Company are duly authorized, validly issued, fully paid and non-assessable, have been issued in compliance with all federal and state securities laws where applicable, and none of such outstanding Ordinary Shares was issued in violation of any preemptive rights or similar rights to subscribe for or purchase securities. Except for the Required Approvals, no further approval or authorization of any shareholder, the Board of Directors or others is required for the issuance and sale of the Securities. There are no shareholders agreements, voting agreements or other similar agreements with respect to the Company’s share capital to which the Company is a party or, to the knowledge of the Company, between or among any of the Company’s shareholders.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GAAP,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latest audited financial statements included within the SEC Reports, except as set forth on Schedule 3(i),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strategic acquisitions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of its Ordinary Shares and (v) the Company has not issued any equity securities to any officer, director or Affiliate, except pursuant to existing Company share option plans. Except for the issuance of the Securities contemplated by this Agreement or as set forth on Schedule 3(i),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which could have or reasonably be expected to result in a Material Adverse Effect.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of (i), (ii) and (iii) as could not have or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certificates, authorizations or permits could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a notice (written or otherwise) that any of, the Intellectual Property Rights has expired, terminated or been abandoned, except as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Except as set forth on Schedule 3(s),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or a Subsidiary and (iii) other employee benefits, including share option agreements under any share option plan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Sarbanes-Oxley; Internal Accounting Controls; Disclosure Controls</w:t>
      </w:r>
      <w:r>
        <w:rPr>
          <w:rFonts w:ascii="Times New Roman;Times;Serif" w:hAnsi="Times New Roman;Times;Serif"/>
          <w:b w:val="false"/>
          <w:i w:val="false"/>
          <w:caps w:val="false"/>
          <w:smallCaps w:val="false"/>
          <w:sz w:val="20"/>
        </w:rPr>
        <w:t>. The Company and the Subsidiaries are in material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as disclosed in the SEC Reports, the Company maintains systems of disclosure controls and “internal controls over financial reporting” (as defined under Rules 13a-15 and 15d-15 under the Exchange Act) that comply with the requirements of the Exchange Act and have been designed by, or under the supervision of, the Company’s principal executive and principal financial officers, or persons performing similar functions, to provide reasonable assurance regarding the reliability of financial reporting and the preparation of financial statements for external purposes in accordance with GAAP,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Since the date of the latest audited financial statements included in the Registration Statement and the Prospectus, there has been no change in the Company’s internal control over financial reporting that has materially affected, or is reasonably likely to materially affect, the Company’s internal control over financial reporting.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Except as set forth in the Prospectus Supplement, no brokerage or finder’s fees or commissions are or will be payable by the Company or any Subsidiary to any broker, placement agent or consultant, finder, placement agent, investment banker, bank or other Person with respect to the transactions contemplated by the Transaction Documents (for the avoidance of doubt, the foregoing shall not include any fees and/or commissions owed to the Transfer Agent). Other than for Persons engaged by any Purchaser, if any,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immediately after receipt of payment for the Securities, will not be an “investment company” within the meaning of the Investment Company Act of 1940,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No Person has any right to cause the Company to effect the registration under the Securities Act of any securities of the Company or 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Ordinary Shares are registered pursuant to Section 12(b) or 12(g)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Except as disclosed in the SEC Reports, the Company has not, in the twelve (12) months preceding the date hereof, received notice from any Trading Market on which the Ordinary Shares are or has been listed or quoted to the effect that the Company is not in compliance with the listing or maintenance requirements of such Trading Market. Except as described in Disclosure Schedule 3.1(x), the Company is, and has no reason to believe that it will not in the foreseeable future continue to be, in compliance with all such listing and maintenance requirements. The Ordinary Shares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or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(12)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believes that no Purchaser makes or has made any representations or warranties with respect to the transactions contemplated hereby other than those specifically set forth in Section 3.2 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Assuming the accuracy of the Purchasers’ representations and warranties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(1) year from the Closing Date. The SEC Reports set forth all outstanding secured and unsecured Indebtedness of the Company or any Subsidiary, or for which the Company or any Subsidiary has commitments. For the purposes of this Agreement,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(x) any liabilities for borrowed money or amounts owed by the Company in excess of $50,000 (other than trade accounts payable incurred in the ordinary course of business), (y) all guaranties, endorsements and other contingent obligations in respect of indebtedness of others to third parties,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Tax Compliance</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federal, state and local income and all foreign income and franchise tax returns, reports and declarations required by any jurisdiction to which it is subject, (ii) has paid all taxes and other governmental assessments and charges, fines or penalties that are material in amount, shown or determined to be due on such returns, reports and declarations and (iii) has set aside on its financial statements provision reasonably adequate for the payment of all material tax liability of which has not been finally determined and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independent registered public accounting firm is HCL, PLLC.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ended June 30,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Acknowledgment Regarding Purchasers’ Purchase of Securities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placement agent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Other than as contemplated herein,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Ordinary Shares are outstanding,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Ordinary Shares, (ii) sold, bid for, purchased, or, paid any compensation for soliciting purchases of, any of the Ordinary Shares, or (iii) paid or agreed to pay to any Person any compensation for soliciting another to purchase any other securities of the Company, other than, in the case of clauses (ii) and (iii), compensation paid to the Company’s Placement Agent in connection with the placement of the Ordinary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Regulatory</w:t>
      </w:r>
      <w:r>
        <w:rPr>
          <w:rFonts w:ascii="Times New Roman;Times;Serif" w:hAnsi="Times New Roman;Times;Serif"/>
          <w:b w:val="false"/>
          <w:i w:val="false"/>
          <w:caps w:val="false"/>
          <w:smallCaps w:val="false"/>
          <w:sz w:val="20"/>
        </w:rPr>
        <w:t>. Except as described in the Registration Statement and the Prospectus, as applicable, the Company and its Subsidiaries (i) are and at all times have been in material compliance with all statutes, rules and regulations applicable to its business (collectively, the “</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(ii) have not received any notice from any court or arbitrator or governmental or regulatory authority or third party alleging or asserting noncompliance with any Applicable Laws or any licenses, exemptions, certificates, approvals, clearances, authorizations, permits, registrations and supplements or amendments thereto required by any such Applicable Laws (“</w:t>
      </w:r>
      <w:r>
        <w:rPr>
          <w:rFonts w:ascii="Times New Roman;Times;Serif" w:hAnsi="Times New Roman;Times;Serif"/>
          <w:b w:val="false"/>
          <w:i w:val="false"/>
          <w:caps w:val="false"/>
          <w:smallCaps w:val="false"/>
          <w:sz w:val="20"/>
          <w:u w:val="single"/>
        </w:rPr>
        <w:t>Authorizations</w:t>
      </w:r>
      <w:r>
        <w:rPr>
          <w:rFonts w:ascii="Times New Roman;Times;Serif" w:hAnsi="Times New Roman;Times;Serif"/>
          <w:b w:val="false"/>
          <w:i w:val="false"/>
          <w:caps w:val="false"/>
          <w:smallCaps w:val="false"/>
          <w:sz w:val="20"/>
        </w:rPr>
        <w:t>”); (iii) possess all material Authorizations and such Authorizations are valid and in full force and effect and are not in violation of any term of any such Authorizations; (iv) have not received written notice of any claim, action, suit, proceeding, hearing, enforcement, investigation arbitration or other action from any court or arbitrator or governmental or regulatory authority or third party alleging that any product operation or activity is in violation of any Applicable Laws or Authorizations nor is any such claim, action, suit, proceeding, hearing, enforcement, investigation, arbitration or other action threatened; (v) have not received any written notice that any court or arbitrator or governmental or regulatory authority has taken, is taking or intends to take, action to limit, suspend, materially modify or revoke any Authorizations nor is any such limitation, suspension, modification or revocation threatened; (vi) have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accurate on the date filed (or were corrected or supplemented by a subsequent submission); and (vii) are not a party to any corporate integrity agreements, monitoring agreements, consent decrees, settlement orders, or similar agreements with or imposed by any governmental or regulatory authority.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Data Privacy</w:t>
      </w:r>
      <w:r>
        <w:rPr>
          <w:rFonts w:ascii="Times New Roman;Times;Serif" w:hAnsi="Times New Roman;Times;Serif"/>
          <w:b w:val="false"/>
          <w:i w:val="false"/>
          <w:caps w:val="false"/>
          <w:smallCaps w:val="false"/>
          <w:sz w:val="20"/>
        </w:rPr>
        <w:t>. To Company’s knowledge, the Company has and is currently taking the measures required by any and all applicable law or any applicable binding directive, guidelines or requirements of a regulator in all relevant jurisdictions to protect the privacy of any Personal Information (as defined below) (the “</w:t>
      </w:r>
      <w:r>
        <w:rPr>
          <w:rFonts w:ascii="Times New Roman;Times;Serif" w:hAnsi="Times New Roman;Times;Serif"/>
          <w:b w:val="false"/>
          <w:i w:val="false"/>
          <w:caps w:val="false"/>
          <w:smallCaps w:val="false"/>
          <w:sz w:val="20"/>
          <w:u w:val="single"/>
        </w:rPr>
        <w:t>Data Privacy Laws</w:t>
      </w:r>
      <w:r>
        <w:rPr>
          <w:rFonts w:ascii="Times New Roman;Times;Serif" w:hAnsi="Times New Roman;Times;Serif"/>
          <w:b w:val="false"/>
          <w:i w:val="false"/>
          <w:caps w:val="false"/>
          <w:smallCaps w:val="false"/>
          <w:sz w:val="20"/>
        </w:rPr>
        <w:t>”) in connection with Company’s collection, storage, use, transfer of, (a) any personally identifiable information from any individuals, including name, address, telephone number, email address, financial account number, government-issued identifier, and any other data used or intended to be used to identify, contact or precisely locate a person, (b) any information from or about an individual whose use, aggregation, holding or management is restricted under any applicable Law, (c) Internet Protocol address or other persistent identifier; (d) “information” as defined by the Israeli Privacy Protection Law (whether or not such “information” constitutes “sensitive information” as defined thereunder) (collectively “</w:t>
      </w:r>
      <w:r>
        <w:rPr>
          <w:rFonts w:ascii="Times New Roman;Times;Serif" w:hAnsi="Times New Roman;Times;Serif"/>
          <w:b w:val="false"/>
          <w:i w:val="false"/>
          <w:caps w:val="false"/>
          <w:smallCaps w:val="false"/>
          <w:sz w:val="20"/>
          <w:u w:val="single"/>
        </w:rPr>
        <w:t>Personal Information</w:t>
      </w:r>
      <w:r>
        <w:rPr>
          <w:rFonts w:ascii="Times New Roman;Times;Serif" w:hAnsi="Times New Roman;Times;Serif"/>
          <w:b w:val="false"/>
          <w:i w:val="false"/>
          <w:caps w:val="false"/>
          <w:smallCaps w:val="false"/>
          <w:sz w:val="20"/>
        </w:rPr>
        <w:t>”) to maintain in confidence such Personal Information. To Company’s knowledge, the Company has at all times complied with the Data Privacy Laws, and is in compliance with any contractual obligations, if any, relating to privacy, data protection, and the collection, storage and use of the Personal Information, if any. No claims have been asserted or, to the best knowledge of the Company, are threatened against the Company by any Person alleging a violation of any Person’s or any entity’s privacy, personal or confidentiality rights under the Data Privacy Laws and/or contractual obligations relating to privacy. To the best knowledge of the Company, there has been no unauthorized access to or other misuse of Personal Information. The Company has never reported a data breach to any relevant regulator in any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Material Agreements</w:t>
      </w:r>
      <w:r>
        <w:rPr>
          <w:rFonts w:ascii="Times New Roman;Times;Serif" w:hAnsi="Times New Roman;Times;Serif"/>
          <w:b w:val="false"/>
          <w:i w:val="false"/>
          <w:caps w:val="false"/>
          <w:smallCaps w:val="false"/>
          <w:sz w:val="20"/>
        </w:rPr>
        <w:t>. The agreements and documents described in the Registration Statement or Prospectus conform in all material respects to the descriptions thereof contained or incorporated by reference therein conformed in all material respects to the requirements of the Securities Act or the Exchange Act, as applicable at the time filed, and were filed on a timely basis with the Commission and none of such documents contained an untrue statement of a material fact or omitted to state a material fact necessary to make the statements therein, in the light of the circumstances under which they were made, not misleading; any further documents so filed and there are no agreements or other documents required by the Securities Act and the rules and regulations thereunder to be described in the Prospectus or to be filed with the Commission as exhibits to the Registration Statement or to be incorporated by reference in the Registration Statement or Prospectus, that have not been so described or filed or incorporated by reference.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(i)(x) To the Company’s knowledge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and (y) the Company and the Subsidiaries have not been notified of, and has no knowledge of any event or condition that would reasonably be expected to result in, any security breach or other compromise to its IT Systems and Data, except as would not, individually or in the aggregate for all such matters referred to in this clause (i), have a Material Adverse Effect;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their material confidential information and the integrity, continuous operation, redundancy and security of all IT Systems and Data; and (iv) the Company and the Subsidiaries have implemented backup and disaster recovery technology consistent with commercially reasonable industry standards and practices.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val="false"/>
          <w:i w:val="false"/>
          <w:caps w:val="false"/>
          <w:smallCaps w:val="false"/>
          <w:sz w:val="20"/>
          <w:u w:val="single"/>
        </w:rPr>
        <w:t>Information Technology</w:t>
      </w:r>
      <w:r>
        <w:rPr>
          <w:rFonts w:ascii="Times New Roman;Times;Serif" w:hAnsi="Times New Roman;Times;Serif"/>
          <w:b w:val="false"/>
          <w:i w:val="false"/>
          <w:caps w:val="false"/>
          <w:smallCaps w:val="false"/>
          <w:sz w:val="20"/>
        </w:rPr>
        <w:t>. The Company’s and the Subsidiaries’ information technology assets and equipment, computers, systems, networks, hardware, software, websites, applications, and databases (collectively,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operate and perform in all material respects as required in connection with the operation of the business of the Company and the Subsidiaries as currently conducted. The Company and the Subsidiaries maintain commercially reasonable controls, policies, procedures, and safeguards to maintain and protect their material confidential information and the integrity, continuous operation, redundancy and security of all IT Systems and all personal, personally identifiable, sensitive, confidential or regulated data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processed and stored thereon, and to the knowledge of the Company, there have been no breaches, incidents, violations, outages, compromises or unauthorized uses of or accesses to same, except for those that have been remedied without material cost or liability or the duty to notify any other person, nor any incidents under internal review or investigations relating to the same. The Company and the Subsidiaries are presently in compliance in all material respects with all applicable laws or statutes and all applicable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for any such noncompliance that would not have a Material Adverse Effect.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val="false"/>
          <w:i w:val="false"/>
          <w:caps w:val="false"/>
          <w:smallCaps w:val="false"/>
          <w:sz w:val="20"/>
          <w:u w:val="single"/>
        </w:rPr>
        <w:t>Notice of Issuer Disqualification Events</w:t>
      </w:r>
      <w:r>
        <w:rPr>
          <w:rFonts w:ascii="Times New Roman;Times;Serif" w:hAnsi="Times New Roman;Times;Serif"/>
          <w:b w:val="false"/>
          <w:i w:val="false"/>
          <w:caps w:val="false"/>
          <w:smallCaps w:val="false"/>
          <w:sz w:val="20"/>
        </w:rPr>
        <w:t>. The Company will notify the Purchasers in writing, prior to the Closing Date of (i) any Issuer Disqualification Event relating to any Issuer Covered Person and (ii) any event that would, with the passage of time, reasonably be expected to become a Disqualification Event relating to any Issuer Covered Person, in each case of which it is aware.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Representations and Warranties of the Purchasers</w:t>
      </w:r>
      <w:r>
        <w:rPr>
          <w:rFonts w:ascii="Times New Roman;Times;Serif" w:hAnsi="Times New Roman;Times;Serif"/>
          <w:b w:val="false"/>
          <w:i w:val="false"/>
          <w:caps w:val="false"/>
          <w:smallCaps w:val="false"/>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Understandings or Arrangements</w:t>
      </w:r>
      <w:r>
        <w:rPr>
          <w:rFonts w:ascii="Times New Roman;Times;Serif" w:hAnsi="Times New Roman;Times;Serif"/>
          <w:b w:val="false"/>
          <w:i w:val="false"/>
          <w:caps w:val="false"/>
          <w:smallCaps w:val="false"/>
          <w:sz w:val="20"/>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Purchaser Disqualification Events</w:t>
      </w:r>
      <w:r>
        <w:rPr>
          <w:rFonts w:ascii="Times New Roman;Times;Serif" w:hAnsi="Times New Roman;Times;Serif"/>
          <w:b w:val="false"/>
          <w:i w:val="false"/>
          <w:caps w:val="false"/>
          <w:smallCaps w:val="false"/>
          <w:sz w:val="20"/>
        </w:rPr>
        <w:t>. Neither such Purchaser nor any person or entity with whom such Purchaser will share beneficial ownership of the Securities (each, a “</w:t>
      </w:r>
      <w:r>
        <w:rPr>
          <w:rFonts w:ascii="Times New Roman;Times;Serif" w:hAnsi="Times New Roman;Times;Serif"/>
          <w:b w:val="false"/>
          <w:i w:val="false"/>
          <w:caps w:val="false"/>
          <w:smallCaps w:val="false"/>
          <w:sz w:val="20"/>
          <w:u w:val="single"/>
        </w:rPr>
        <w:t>Purchaser Covered Person</w:t>
      </w:r>
      <w:r>
        <w:rPr>
          <w:rFonts w:ascii="Times New Roman;Times;Serif" w:hAnsi="Times New Roman;Times;Serif"/>
          <w:b w:val="false"/>
          <w:i w:val="false"/>
          <w:caps w:val="false"/>
          <w:smallCaps w:val="false"/>
          <w:sz w:val="20"/>
        </w:rPr>
        <w:t>”) is subject to any of the “Bad Actor” disqualifications described in Rule 506(d)(1)(i) to (viii) under the Securities Act (a “</w:t>
      </w:r>
      <w:r>
        <w:rPr>
          <w:rFonts w:ascii="Times New Roman;Times;Serif" w:hAnsi="Times New Roman;Times;Serif"/>
          <w:b w:val="false"/>
          <w:i w:val="false"/>
          <w:caps w:val="false"/>
          <w:smallCaps w:val="false"/>
          <w:sz w:val="20"/>
          <w:u w:val="single"/>
        </w:rPr>
        <w:t>Purchaser Disqualification Event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 of Purchaser Disqualification Events</w:t>
      </w:r>
      <w:r>
        <w:rPr>
          <w:rFonts w:ascii="Times New Roman;Times;Serif" w:hAnsi="Times New Roman;Times;Serif"/>
          <w:b w:val="false"/>
          <w:i w:val="false"/>
          <w:caps w:val="false"/>
          <w:smallCaps w:val="false"/>
          <w:sz w:val="20"/>
        </w:rPr>
        <w:t>. Such Purchaser will notify the Company in writing, prior to the Closing Date of (i) any Purchaser Disqualification Event relating to any Purchaser Covered Person and (ii) any event that would, with the passage of time, reasonably be expected to become a Purchaser Disqualification Event relating to any Purchaser Covered Person, in each case of which such Purchaser is aware.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Experience of Such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placement agent or fiduciary to such Purchaser.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which terms include definitive pricing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order to effect Short Sales or similar transactions in the future.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No Voting Agreements</w:t>
      </w:r>
      <w:r>
        <w:rPr>
          <w:rFonts w:ascii="Times New Roman;Times;Serif" w:hAnsi="Times New Roman;Times;Serif"/>
          <w:b w:val="false"/>
          <w:i w:val="false"/>
          <w:caps w:val="false"/>
          <w:smallCaps w:val="false"/>
          <w:sz w:val="20"/>
        </w:rPr>
        <w:t>. The Purchaser is not a party to any agreement or arrangement, whether written or oral, between the Purchaser and any other Purchaser and any of the Company’s shareholders as of the date hereof, regulating the management of the Company, the shareholders’ rights in the Company, the transfer of shares in the Company, including any voting agreements, shareholder agreements or any other similar agreement even if its title is different or has any other relations or agreements with any of the Company’s shareholders, directors or officers.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Except as set forth in the Prospectus or Prospectus Supplement, no agent, broker, investment banker, person or firm acting in a similar capacity on behalf of or under the authority of the Purchaser is or will be entitled to any broker’s or finder’s fee or any other commission or similar fee, directly or indirectly, for which the Company or any of its Affiliates after the Closing could have any liabilities in connection with this Agreement, any of the transactions contemplated by this Agreement, or on account of any action taken by the Purchaser in connection with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Independent Advice</w:t>
      </w:r>
      <w:r>
        <w:rPr>
          <w:rFonts w:ascii="Times New Roman;Times;Serif" w:hAnsi="Times New Roman;Times;Serif"/>
          <w:b w:val="false"/>
          <w:i w:val="false"/>
          <w:caps w:val="false"/>
          <w:smallCaps w:val="false"/>
          <w:sz w:val="20"/>
        </w:rPr>
        <w:t>. Each Purchaser understands that nothing in this Agreement or any other materials presented by or on behalf of the Company to the Purchaser in connection with the purchase of the Securities constitutes legal, tax or investment advice.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except as set forth in this Agreement, with respect to locating or borrowing shares in order to effect Short Sales or similar transactions in the future.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br/>
        <w:t>OTHER AGREEMENTS OF THE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Legends.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The Shares and Pre-Funded Warrant Shares shall be issued free of legends.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all or any portion of a Pre-Funded Warrant is exercised at a time when there is an effective registration statement to cover the issuance or resale of the Pre-Funded Warrant Shares or if the Pre-Funded Warrant is exercised via cashless exercise, the Pre-Funded Warrant Shares issued pursuant to any such exercise shall be issued free of all restrictive legends. If at any time following the date hereof the Registration Statement (or any subsequent registration statement registering the sale or resale of the Warrant Shares) is not effective or is not otherwise available for the initial sale by the Company, or the resale by the Purchasers,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initial sale by the Company or the resale by the Purchasers of the Pre-Funded Warrant Shares (it being understood and agreed that the foregoing shall not limit the ability of the Company to issue, or any Purchaser to sell, any of the Pre-Funded Warrant Shares in compliance with applicable federal and state securities laws). The Company shall use commercially reasonable efforts to keep a registration statement (including the Registration Statement) registering the issuance or resale of the Pre-Funded Warrant Shares effective during the term of the Pre-Funded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Furnishing of Information; Public Information</w:t>
      </w:r>
      <w:r>
        <w:rPr>
          <w:rFonts w:ascii="Times New Roman;Times;Serif" w:hAnsi="Times New Roman;Times;Serif"/>
          <w:b w:val="false"/>
          <w:i w:val="false"/>
          <w:caps w:val="false"/>
          <w:smallCaps w:val="false"/>
          <w:sz w:val="20"/>
        </w:rPr>
        <w:t>. Until the earliest of the time that (i) no Purchaser owns Securities, or (ii) the Pre-Funded Warrants have expired, the Company covenants to use commercially reasonable efforts to maintain the registration of the Ordinary Shares under Section 12(b) or 12(g) of the Exchange Act and timely file (or obtain extensions in respect thereof and file within the applicable grace period) all reports required to be filed by the Company after the date hereof pursuant to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the Disclosure Time, issue a press release disclosing the material terms of the transactions contemplated hereby, and (b) file a Report on Form 6-K,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which was entered into solely in connection with the subject matter hereof, shall terminate and be of no further force or effect.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and use of such information and agreed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controlled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and of its Subsidiaries or any of their respective officers, directors, agents, employees or Affiliates not to trade on the basis of, such material, non-public information, provided that the Purchaser shall remain subject to applicable law. The Company understands and confirms that each Purchaser shall be relying on the foregoing covenant in effecting transactions in securities of the Company.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6-K. The Company understands and confirms that each Purchaser shall be relying on the foregoing covenant in effecting transactions in securities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sale of the Securities hereunder for working capital and general corporate purposes and shall not use such proceeds: (a) for the satisfaction of any portion of the Company’s debt (other than payment of trade payables in the ordinary course of the Company’s business), (b) for the redemption of any Ordinary Shares or Ordinary Share Equivalents, (c) for the settlement of any outstanding litigation or (d) in violation of FCPA or OFAC regulations or similar applicable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Indemnification of Purchasers</w:t>
      </w:r>
      <w:r>
        <w:rPr>
          <w:rFonts w:ascii="Times New Roman;Times;Serif" w:hAnsi="Times New Roman;Times;Serif"/>
          <w:b w:val="false"/>
          <w:i w:val="false"/>
          <w:caps w:val="false"/>
          <w:smallCaps w:val="false"/>
          <w:sz w:val="20"/>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harmless from any and all losses, liabilities, obligations, claims, contingencies, damages, costs and expenses, including all judgments, amounts paid in settlements, court costs and reasonable and documented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a Purchaser Party in any capacity (including a Purchaser Party’s status as an investor), or any of them or their respective Affiliates, by any shareholder of the Company who is not an Affiliate of such Purchaser Party, arising out of or relating to any of the transactions contemplated by the Transaction Documents (unless such action is based upon a material breach of such Purchaser Party’s representations, warranties or covenants under the Transaction Documents or any agreements or understandings such Purchaser Party may have with any such shareholder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reasonable and documented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to the applicable Purchaser Party (which may be internal counsel), a material conflict on any material issue between the position of the Company and the position of such Purchaser Party, in which case the Company shall be responsible for the reasonable and documented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that a loss, claim, damage or liability is attributable to any Purchaser Party’s breach of any of the representations, warranties, covenants or agreements made by such Purchaser Party in this Agreement or in the other Transaction Documents. The indemnification and other payment obligations required by this Section 4.8 shall be made by periodic payments of the amount thereof during the course of the investigation, defense, collection, enforcement or action,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Reservation of Ordinary Shares</w:t>
      </w:r>
      <w:r>
        <w:rPr>
          <w:rFonts w:ascii="Times New Roman;Times;Serif" w:hAnsi="Times New Roman;Times;Serif"/>
          <w:b w:val="false"/>
          <w:i w:val="false"/>
          <w:caps w:val="false"/>
          <w:smallCaps w:val="false"/>
          <w:sz w:val="20"/>
        </w:rPr>
        <w:t>. As of the date hereof, the Company has reserved and the Company shall continue to reserve and keep available at all times, free of preemptive rights, a sufficient number of Ordinary Shares for the purpose of enabling the Company to issue Shares pursuant to this Agreement and Pre-Funded Warrant Shares pursuant to any exercise of the Pre-Funded Warrants.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Listing of Ordinary Shares</w:t>
      </w:r>
      <w:r>
        <w:rPr>
          <w:rFonts w:ascii="Times New Roman;Times;Serif" w:hAnsi="Times New Roman;Times;Serif"/>
          <w:b w:val="false"/>
          <w:i w:val="false"/>
          <w:caps w:val="false"/>
          <w:smallCaps w:val="false"/>
          <w:sz w:val="20"/>
        </w:rPr>
        <w:t>. The Company hereby agrees to use commercially reasonable best efforts to maintain the listing or quotation of the Ordinary Shares on each Trading Market on which each is currently listed, and concurrently with the Closing, the Company shall apply to list or quote all of the Shares and Pre-Funded Warrant Shares on such Trading Markets and promptly secure the listing of all of the Shares and Pre-Funded Warrant Shares on such Trading Markets. The Company further agrees, if the Company applies to have the Ordinary Shares traded on any other Trading Market, it will then include in such application all of the Shares and Pre-Funded Warrant Shares, and will take such other action as is necessary to cause all of the Shares and Pre-Funded Warrant Shares to be listed or quoted on such other Trading Market as promptly as possible. The Company will then take all action reasonably necessary to continue the listing and trading of the Ordinary Shares on a Trading Market and will comply in all material respects with the Company’s reporting, filing and other obligations under the bylaws or rules of the Trading Market. The Company agrees to use commercially reasonable efforts to maintain the eligibility of the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Subsequent Equity Sales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thirty (30) days after the Closing Date, neither the Company nor any Subsidiary shall (i) issue, enter into any agreement to issue or announce the issuance or proposed issuance of Ordinary Shares or Ordinary Share Equivalents or (ii) file any registration statement or amendment or supplement thereto, other than the Prospectus Supplement, a registration statement on Form S-8 in connection with any employee benefit plan and the Resale Registration Statement (as defined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date hereof until thirty (30) days after the Closing Date, the Company shall be prohibited from effecting or entering into an agreement to effect any issuance by the Company or any of its Subsidiaries of Ordinary Shares or Ordinary Share Equivalents (or a combination of units thereof) involving a Variable Rate Transaction. “</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means a transaction in which the Company (i) issues or sells any debt or equity securities that are convertible into, exchangeable or exercisable for, or include the right to receive additional Ordinary Shares either (A) at a conversion price, exercise price or exchange rate or other price that is based upon and/or varies with the trading prices of or quotations for the Ordinary Shares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Ordinary Shares or (ii) enters into, or effects a transaction under, any agreement, including, but not limited to, an equity line of credit, or an at-the-market offerings whereby the Company may issue securities at a future determined price; provided, however, that after sixty (60) days the Company shall be permitted to enter into and effect sales pursuant to an at-the-market offering facility. Any Purchaser shall be entitled to obtain injunctive relief against the Company to preclude any such issuance, which remedy shall be in addition to any right to collect damages.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this Section 4.11 shall not apply in respect of an Exempt Issuance, except that no Variable Rate Transaction shall be an Exempt Issuance.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Equal Treatment of Purchasers</w:t>
      </w:r>
      <w:r>
        <w:rPr>
          <w:rFonts w:ascii="Times New Roman;Times;Serif" w:hAnsi="Times New Roman;Times;Serif"/>
          <w:b w:val="false"/>
          <w:i w:val="false"/>
          <w:caps w:val="false"/>
          <w:smallCaps w:val="false"/>
          <w:sz w:val="20"/>
        </w:rPr>
        <w:t>. No consideration (including any modification of the Transaction Documents)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the Ordinary Shares or otherwise.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w:t>
      </w:r>
      <w:r>
        <w:rPr>
          <w:rFonts w:ascii="Times New Roman;Times;Serif" w:hAnsi="Times New Roman;Times;Serif"/>
          <w:b w:val="false"/>
          <w:i w:val="false"/>
          <w:caps w:val="false"/>
          <w:smallCaps w:val="false"/>
          <w:sz w:val="20"/>
          <w:u w:val="single"/>
        </w:rPr>
        <w:t>Exercise Procedures</w:t>
      </w:r>
      <w:r>
        <w:rPr>
          <w:rFonts w:ascii="Times New Roman;Times;Serif" w:hAnsi="Times New Roman;Times;Serif"/>
          <w:b w:val="false"/>
          <w:i w:val="false"/>
          <w:caps w:val="false"/>
          <w:smallCaps w:val="false"/>
          <w:sz w:val="20"/>
        </w:rPr>
        <w:t>. The forms of Notice of Exercise included in the Pre-Funded Warrants set forth the totality of the procedures required of the Purchasers in order to exercise the Pre-Funded Warrants. No additional legal opinion, other information or instructions shall be required of the Purchasers to exercise their Pre-Funded Warrants. Without limiting the preceding sentences, no ink-original Notice of Exercise shall be required, nor shall any medallion guarantee (or other type of guarantee or notarization) of any Notice of Exercise form be required in order to exercise the Pre-Funded Warrants. The Company shall honor exercises of the Pre-Funded Warrants and shall deliver Pre-Funded Warrant Shares in accordance with the terms, conditions and time periods set forth in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The Company shall not amend, modify, waive or terminate any provision of any of the Lock-Up Agreements without the prior written consent of the Placement Agent, except to extend the term of the lock-up period, and shall enforce the provisions of each Lock-Up Agreement in accordance with its terms. If any party to a Lock-Up Agreement breaches any provision of a Lock-Up Agreement, the Company shall promptly use its reasonable commercial efforts to seek specific performance of the terms of such Lock-Up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4.16 </w:t>
      </w:r>
      <w:r>
        <w:rPr>
          <w:rFonts w:ascii="Times New Roman;Times;Serif" w:hAnsi="Times New Roman;Times;Serif"/>
          <w:b w:val="false"/>
          <w:i w:val="false"/>
          <w:caps w:val="false"/>
          <w:smallCaps w:val="false"/>
          <w:sz w:val="20"/>
          <w:u w:val="single"/>
        </w:rPr>
        <w:t>Reverse Split</w:t>
      </w:r>
      <w:r>
        <w:rPr>
          <w:rFonts w:ascii="Times New Roman;Times;Serif" w:hAnsi="Times New Roman;Times;Serif"/>
          <w:b w:val="false"/>
          <w:i w:val="false"/>
          <w:caps w:val="false"/>
          <w:smallCaps w:val="false"/>
          <w:sz w:val="20"/>
        </w:rPr>
        <w:t>. The earliest date on which the Company may announce a reverse stock split shall be May 19, 2026 if a Deficiency Event has occurred. For purpose of this Agreement, a “Deficiency Event” shall be deemed to have occurred if the closing sale price of the Ordinary Shares is less than $0.10 for three (3) consecutive Trading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br/>
        <w:t>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(5th) Trading Day following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termination will affect the right of any party to sue for any breach by any other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Report on Form 6-K or by issuing a press release containing such material non-public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the Purchasers who purchased at least 50.1% of the then sum of (i) the Shares and (ii) the Pre-Funded Warrant Shares initially issuable upon exercise of the Pre-Funded Warrants based on the initial Subscription Amounts hereunder, or, in the case of a waiver, by the party against whom enforcement of any such waived provision is sought; provided, that if any amendment, modification or waiver disproportionately and adversely impacts a Purchaser (or group of Purchasers), the consent of at least 50.1% in interest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The Placement Agent shall be the third-party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this Section 5.8 and the Placement Agency Agreement,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the Transaction Documents, then, in addition to the obligations of the Company under Section 4.8, the prevailing party in such action, suit or proceeding shall be reimbursed by the other party for its reasonable and documented attorneys’ fees and other costs and expenses incurred with the investigation, preparation and prosecution of such action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Securities for a period of two (2) years from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was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a Warrant, the applicable Purchaser shall be required to return any Ordinary Shares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w:t>
      </w:r>
      <w:r>
        <w:rPr>
          <w:rFonts w:ascii="Times New Roman;Times;Serif" w:hAnsi="Times New Roman;Times;Serif"/>
          <w:b w:val="false"/>
          <w:i w:val="false"/>
          <w:caps w:val="false"/>
          <w:smallCaps w:val="false"/>
          <w:sz w:val="20"/>
          <w:u w:val="single"/>
        </w:rPr>
        <w:t>Replacement of Securities</w:t>
      </w:r>
      <w:r>
        <w:rPr>
          <w:rFonts w:ascii="Times New Roman;Times;Serif" w:hAnsi="Times New Roman;Times;Serif"/>
          <w:b w:val="false"/>
          <w:i w:val="false"/>
          <w:caps w:val="false"/>
          <w:smallCaps w:val="false"/>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 Each party agrees that it shall not have a remedy of punitive or consequential damages against the other and hereby waives any right or claim to punitive or consequential damages it may now have or that may arise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5.16 </w:t>
      </w:r>
      <w:r>
        <w:rPr>
          <w:rFonts w:ascii="Times New Roman;Times;Serif" w:hAnsi="Times New Roman;Times;Serif"/>
          <w:b w:val="false"/>
          <w:i w:val="false"/>
          <w:caps w:val="false"/>
          <w:smallCaps w:val="false"/>
          <w:sz w:val="20"/>
          <w:u w:val="single"/>
        </w:rPr>
        <w:t>Payment Set Aside; Currency</w:t>
      </w:r>
      <w:r>
        <w:rPr>
          <w:rFonts w:ascii="Times New Roman;Times;Serif" w:hAnsi="Times New Roman;Time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Times New Roman;Times;Serif" w:hAnsi="Times New Roman;Times;Serif"/>
          <w:b w:val="false"/>
          <w:i w:val="false"/>
          <w:caps w:val="false"/>
          <w:smallCaps w:val="false"/>
          <w:sz w:val="20"/>
          <w:u w:val="single"/>
        </w:rPr>
        <w:t>U.S. Dollars</w:t>
      </w:r>
      <w:r>
        <w:rPr>
          <w:rFonts w:ascii="Times New Roman;Times;Serif" w:hAnsi="Times New Roman;Times;Serif"/>
          <w:b w:val="false"/>
          <w:i w:val="false"/>
          <w:caps w:val="false"/>
          <w:smallCaps w:val="false"/>
          <w:sz w:val="20"/>
        </w:rPr>
        <w:t>”), and all amounts owing under this Agreement and all other Transaction Documents shall be paid in U.S. Dollars. All amounts denominated in other currencies (if any) shall be converted into the U.S. Dollar equivalent amount in accordance with the Exchange Rate on the date of calculation. “</w:t>
      </w:r>
      <w:r>
        <w:rPr>
          <w:rFonts w:ascii="Times New Roman;Times;Serif" w:hAnsi="Times New Roman;Times;Serif"/>
          <w:b w:val="false"/>
          <w:i w:val="false"/>
          <w:caps w:val="false"/>
          <w:smallCaps w:val="false"/>
          <w:sz w:val="20"/>
          <w:u w:val="single"/>
        </w:rPr>
        <w:t>Exchange Rate</w:t>
      </w:r>
      <w:r>
        <w:rPr>
          <w:rFonts w:ascii="Times New Roman;Times;Serif" w:hAnsi="Times New Roman;Times;Serif"/>
          <w:b w:val="false"/>
          <w:i w:val="false"/>
          <w:caps w:val="false"/>
          <w:smallCaps w:val="false"/>
          <w:sz w:val="20"/>
        </w:rPr>
        <w:t>” means, in relation to any amount of currency to be converted into U.S. Dollars pursuant to this Agreement, the U.S. Dollar exchange rate as published in the Wall Street Journal on the relevant date of calculation.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 (a) If for the purpose of obtaining or enforcing judgment against the Company in any court in any jurisdiction it becomes necessary to convert into any other currency (such other currency being hereinafter in this Section 5.17 referred to as the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 an amount due in U.S. Dollars under this Agreement or any other Transaction Document, the conversion shall be made at the Exchange Rate prevailing on the Trading Day immediately preceding: (A) the date actual payment of the amount due, in the case of any proceeding in the courts of New York or in the courts of any other jurisdiction that will give effect to such conversion being made on such date or (B) the date on which the foreign court determines, in the case of any proceeding in the courts of any other jurisdiction (the date as of which such conversion is made pursuant to this Section 5.17 being hereinafter referred to as the “</w:t>
      </w:r>
      <w:r>
        <w:rPr>
          <w:rFonts w:ascii="Times New Roman;Times;Serif" w:hAnsi="Times New Roman;Times;Serif"/>
          <w:b w:val="false"/>
          <w:i w:val="false"/>
          <w:caps w:val="false"/>
          <w:smallCaps w:val="false"/>
          <w:sz w:val="20"/>
          <w:u w:val="single"/>
        </w:rPr>
        <w:t>Judgment Conversion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in the case of any proceeding in the court of any jurisdiction referred to in Section 5.17(a)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amount due from the Company under this provision shall be due as a separate debt and shall not be affected by judgment being obtained for any other amounts due under or in respect of this Agreement or any other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Each of the parties hereto irrevocably (i) agrees that any legal suit, action or proceeding arising out of or based upon this Agreement or the transactions contemplated hereby may be instituted in any New York Court, (ii) waives, to the fullest extent it may effectively do so, any objection which it may now or hereafter have to the laying of venue of any such proceeding and (iii) submits to the exclusive jurisdiction of such courts in any such suit, action or proceeding.  The Company has appointed Mudra Wearable, Inc., as its authorized agent (the “</w:t>
      </w:r>
      <w:r>
        <w:rPr>
          <w:rFonts w:ascii="Times New Roman;Times;Serif" w:hAnsi="Times New Roman;Times;Serif"/>
          <w:b w:val="false"/>
          <w:i w:val="false"/>
          <w:caps w:val="false"/>
          <w:smallCaps w:val="false"/>
          <w:sz w:val="20"/>
          <w:u w:val="single"/>
        </w:rPr>
        <w:t>Authorized Agent</w:t>
      </w:r>
      <w:r>
        <w:rPr>
          <w:rFonts w:ascii="Times New Roman;Times;Serif" w:hAnsi="Times New Roman;Times;Serif"/>
          <w:b w:val="false"/>
          <w:i w:val="false"/>
          <w:caps w:val="false"/>
          <w:smallCaps w:val="false"/>
          <w:sz w:val="20"/>
        </w:rPr>
        <w:t>”) upon whom process may be served in any such action arising out of or based on this Agreement or the transactions contemplated hereby which may be instituted in any New York Court by any Purchaser or by any person who controls any Purchaser, expressly consents to the jurisdiction of any such court in respect of any such action, and waives any other requirements of or objections to personal jurisdiction with respect thereto.  Such appointment shall be irrevocable.  The Company represents and warrants that the Authorized Agent has agreed to act as such agent for service of process and agrees to take any and all action, including the filing of any and all documents and instruments, which may be necessary to continue such appointment in full force and effect as aforesaid.  Service of process upon the Authorized Agent and written notice of such service to the Company shall be deemed, in every respect, effective service of process upon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5.19 </w:t>
      </w:r>
      <w:r>
        <w:rPr>
          <w:rFonts w:ascii="Times New Roman;Times;Serif" w:hAnsi="Times New Roman;Times;Serif"/>
          <w:b w:val="false"/>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Placement Agent Counsel. Placement Agent Counsel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w:t>
      </w:r>
      <w:r>
        <w:rPr>
          <w:rFonts w:ascii="Times New Roman;Times;Serif" w:hAnsi="Times New Roman;Times;Serif"/>
          <w:b w:val="false"/>
          <w:i w:val="false"/>
          <w:caps w:val="false"/>
          <w:smallCaps w:val="false"/>
          <w:sz w:val="20"/>
          <w:u w:val="single"/>
        </w:rPr>
        <w:t>Liquidated Damages</w:t>
      </w:r>
      <w:r>
        <w:rPr>
          <w:rFonts w:ascii="Times New Roman;Times;Serif" w:hAnsi="Times New Roman;Times;Serif"/>
          <w:b w:val="false"/>
          <w:i w:val="false"/>
          <w:caps w:val="false"/>
          <w:smallCaps w:val="false"/>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Ordinary Shares in any Transaction Document shall be subject to adjustment for reverse and forward share splits, share dividends, share combinations and other similar transactions relating to Ordinary Shares that occur after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144"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firstLine="720"/>
        <w:jc w:val="both"/>
        <w:rPr>
          <w:caps w:val="false"/>
          <w:smallCaps w:val="false"/>
        </w:rPr>
      </w:pPr>
      <w:r>
        <w:rPr>
          <w:caps w:val="false"/>
          <w:smallCaps w:val="false"/>
        </w:rPr>
        <w:t> </w:t>
      </w:r>
    </w:p>
    <w:tbl>
      <w:tblPr>
        <w:tblW w:w="9129" w:type="dxa"/>
        <w:jc w:val="left"/>
        <w:tblInd w:w="0" w:type="dxa"/>
        <w:tblLayout w:type="fixed"/>
        <w:tblCellMar>
          <w:top w:w="0" w:type="dxa"/>
          <w:left w:w="0" w:type="dxa"/>
          <w:bottom w:w="0" w:type="dxa"/>
          <w:right w:w="0" w:type="dxa"/>
        </w:tblCellMar>
      </w:tblPr>
      <w:tblGrid>
        <w:gridCol w:w="659"/>
        <w:gridCol w:w="2285"/>
        <w:gridCol w:w="60"/>
        <w:gridCol w:w="6125"/>
      </w:tblGrid>
      <w:tr>
        <w:trPr/>
        <w:tc>
          <w:tcPr>
            <w:tcW w:w="2944"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Haoxi Health Technology Limited</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Address for Notice</w:t>
            </w:r>
            <w:r>
              <w:rPr>
                <w:rFonts w:ascii="Times New Roman;Times;Serif" w:hAnsi="Times New Roman;Times;Serif"/>
                <w:sz w:val="20"/>
              </w:rPr>
              <w:t>:</w:t>
            </w:r>
          </w:p>
        </w:tc>
      </w:tr>
      <w:tr>
        <w:trPr/>
        <w:tc>
          <w:tcPr>
            <w:tcW w:w="294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both"/>
              <w:rPr/>
            </w:pPr>
            <w:r>
              <w:rPr/>
              <w:t> </w:t>
            </w:r>
          </w:p>
        </w:tc>
      </w:tr>
      <w:tr>
        <w:trPr/>
        <w:tc>
          <w:tcPr>
            <w:tcW w:w="29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Room 801, Tower C, Floor 8, Building 103, Huizhongli, Chaoyang District</w:t>
            </w:r>
          </w:p>
        </w:tc>
      </w:tr>
      <w:tr>
        <w:trPr/>
        <w:tc>
          <w:tcPr>
            <w:tcW w:w="6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285"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r>
      <w:tr>
        <w:trPr/>
        <w:tc>
          <w:tcPr>
            <w:tcW w:w="659" w:type="dxa"/>
            <w:tcBorders/>
            <w:vAlign w:val="center"/>
          </w:tcPr>
          <w:p>
            <w:pPr>
              <w:pStyle w:val="TableContents"/>
              <w:bidi w:val="0"/>
              <w:spacing w:before="0" w:after="283"/>
              <w:jc w:val="both"/>
              <w:rPr/>
            </w:pPr>
            <w:r>
              <w:rPr>
                <w:rFonts w:ascii="Times New Roman;Times;Serif" w:hAnsi="Times New Roman;Times;Serif"/>
                <w:sz w:val="20"/>
              </w:rPr>
              <w:t>Name</w:t>
            </w:r>
            <w:r>
              <w:rPr/>
              <w:t>:</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Zhen Fan</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Attention: Zhen Fan, Chief Executive Officer</w:t>
            </w:r>
          </w:p>
        </w:tc>
      </w:tr>
      <w:tr>
        <w:trPr/>
        <w:tc>
          <w:tcPr>
            <w:tcW w:w="6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60" w:type="dxa"/>
            <w:tcBorders/>
            <w:vAlign w:val="center"/>
          </w:tcPr>
          <w:p>
            <w:pPr>
              <w:pStyle w:val="TableContents"/>
              <w:bidi w:val="0"/>
              <w:spacing w:before="0" w:after="283"/>
              <w:jc w:val="both"/>
              <w:rPr/>
            </w:pPr>
            <w:r>
              <w:rPr/>
              <w:t> </w:t>
            </w:r>
          </w:p>
        </w:tc>
        <w:tc>
          <w:tcPr>
            <w:tcW w:w="612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br/>
        <w:t>SIGNATURE PAGE FOR PURCHASER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SIGNATURE PAGES TO HAO 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Purchaser</w:t>
      </w:r>
      <w:r>
        <w:rPr>
          <w:rFonts w:ascii="Times New Roman;Times;Serif" w:hAnsi="Times New Roman;Times;Serif"/>
          <w:b w:val="false"/>
          <w:i w:val="false"/>
          <w:caps w:val="false"/>
          <w:smallCaps w:val="false"/>
          <w:sz w:val="20"/>
        </w:rPr>
        <w:t>: 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 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Number of Authorized Signatory: 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 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Pre-Funded Warrants and Pre-Funded Warrant Shares to the Purchaser (if not same as address for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DWAC for Ordinary Shares:________________________________________________________________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 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underlying the Pre-Funded Warrants: 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Blocker ☐ 4.99% or ☐ 9.99%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 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second (2nd)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br/>
        <w:t>Form of Pre-Funded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br/>
        <w:t>Form of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 w:name="ea029775001ex10-2.htm"/>
      <w:bookmarkStart w:id="9" w:name="ksea029775001ex102"/>
      <w:bookmarkEnd w:id="8"/>
      <w:bookmarkEnd w:id="9"/>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PLACEMENT AGENCY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Haoxi Health Technology Limited</w:t>
      </w:r>
    </w:p>
    <w:tbl>
      <w:tblPr>
        <w:tblW w:w="4565" w:type="dxa"/>
        <w:jc w:val="left"/>
        <w:tblInd w:w="0" w:type="dxa"/>
        <w:tblLayout w:type="fixed"/>
        <w:tblCellMar>
          <w:top w:w="0" w:type="dxa"/>
          <w:left w:w="0" w:type="dxa"/>
          <w:bottom w:w="0" w:type="dxa"/>
          <w:right w:w="0" w:type="dxa"/>
        </w:tblCellMar>
      </w:tblPr>
      <w:tblGrid>
        <w:gridCol w:w="4565"/>
      </w:tblGrid>
      <w:tr>
        <w:trPr/>
        <w:tc>
          <w:tcPr>
            <w:tcW w:w="456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801, Tower C, Floor 8, Building 103, Huizhongli</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Mr. Zhen Fan,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Fan: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constitutes the agreement by and between Univest Securities, LLC (“</w:t>
      </w:r>
      <w:r>
        <w:rPr>
          <w:rFonts w:ascii="Times New Roman;Times;Serif" w:hAnsi="Times New Roman;Times;Serif"/>
          <w:b/>
          <w:i w:val="false"/>
          <w:caps w:val="false"/>
          <w:smallCaps w:val="false"/>
          <w:sz w:val="20"/>
        </w:rPr>
        <w:t>Univest</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Placement Agent</w:t>
      </w:r>
      <w:r>
        <w:rPr>
          <w:rFonts w:ascii="Times New Roman;Times;Serif" w:hAnsi="Times New Roman;Times;Serif"/>
          <w:b w:val="false"/>
          <w:i w:val="false"/>
          <w:caps w:val="false"/>
          <w:smallCaps w:val="false"/>
          <w:sz w:val="20"/>
        </w:rPr>
        <w:t>”) and Haoxi Health Technology Limited, a Cayman Islands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pursuant to which the Placement Agent shall serve as the placement agent for the Company, on a “reasonable best efforts” basis, in connection with the proposed placements (the “</w:t>
      </w:r>
      <w:r>
        <w:rPr>
          <w:rFonts w:ascii="Times New Roman;Times;Serif" w:hAnsi="Times New Roman;Times;Serif"/>
          <w:b/>
          <w:i w:val="false"/>
          <w:caps w:val="false"/>
          <w:smallCaps w:val="false"/>
          <w:sz w:val="20"/>
        </w:rPr>
        <w:t>Placements</w:t>
      </w:r>
      <w:r>
        <w:rPr>
          <w:rFonts w:ascii="Times New Roman;Times;Serif" w:hAnsi="Times New Roman;Times;Serif"/>
          <w:b w:val="false"/>
          <w:i w:val="false"/>
          <w:caps w:val="false"/>
          <w:smallCaps w:val="false"/>
          <w:sz w:val="20"/>
        </w:rPr>
        <w:t>”) via a registered direct offering of Class A ordinary shares of the Company, par value $0.32 per share, of the Company (“</w:t>
      </w:r>
      <w:r>
        <w:rPr>
          <w:rFonts w:ascii="Times New Roman;Times;Serif" w:hAnsi="Times New Roman;Times;Serif"/>
          <w:b/>
          <w:i w:val="false"/>
          <w:caps w:val="false"/>
          <w:smallCaps w:val="false"/>
          <w:sz w:val="20"/>
        </w:rPr>
        <w:t>Ordinary Share</w:t>
      </w:r>
      <w:r>
        <w:rPr>
          <w:rFonts w:ascii="Times New Roman;Times;Serif" w:hAnsi="Times New Roman;Times;Serif"/>
          <w:b w:val="false"/>
          <w:i w:val="false"/>
          <w:caps w:val="false"/>
          <w:smallCaps w:val="false"/>
          <w:sz w:val="20"/>
        </w:rPr>
        <w:t>”), and/or the Pre-Funded Warrants to purchase Ordinary Shares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The terms of the Placements and the Securities shall be mutually agreed upon by the Company and the purchasers (each, a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Purchasers</w:t>
      </w:r>
      <w:r>
        <w:rPr>
          <w:rFonts w:ascii="Times New Roman;Times;Serif" w:hAnsi="Times New Roman;Times;Serif"/>
          <w:b w:val="false"/>
          <w:i w:val="false"/>
          <w:caps w:val="false"/>
          <w:smallCaps w:val="false"/>
          <w:sz w:val="20"/>
        </w:rPr>
        <w:t>”) and nothing herein shall be deemed to mean that the Placement Agent would have the power or authority to bind the Company or any Purchaser or an obligation for the Company to issue any Securities or complete the Placements. This Agreement and the documents executed and delivered by the Company and the Purchasers in connection with the Placements, including but not limited to the Purchase Agreement (as defined below), shall be collectively referred to herein as the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The date of the closing of the Placements shall be referred to herein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The Company expressly acknowledges and agrees that the obligations of the Placement Agent hereunder are on a reasonable best efforts basis only and that the execution of this Agreement does not constitute a commitment by the Placement Agent to purchase the Securities and does not ensure the successful placement of the Securities or any portion thereof or the success of the Placement Agent with respect to securing any other financing on behalf of the Company. Following the prior written consent of the Company, the Placement Agent may retain other brokers or dealers to act as sub-agents or selected-dealers on its behalf in connection with the Placements. The sale of the Securities to any Purchaser will be evidenced by a securities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between the Company and such Purchaser in a form mutually agreed upon by the Company and the Placement Agent. Capitalized terms that are not otherwise defined herein have the meanings given to such terms in the Purchase Agreement. Prior to the signing of any Purchase Agreement, executive officers of the Company will be available upon reasonable notice and during normal business hours to answer inquiries from prospective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REPRESENTATIONS AND WARRANTIES OF THE COMPANY; COVENANTS OF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of the Company</w:t>
      </w:r>
      <w:r>
        <w:rPr>
          <w:rFonts w:ascii="Times New Roman;Times;Serif" w:hAnsi="Times New Roman;Times;Serif"/>
          <w:b w:val="false"/>
          <w:i w:val="false"/>
          <w:caps w:val="false"/>
          <w:smallCaps w:val="false"/>
          <w:sz w:val="20"/>
        </w:rPr>
        <w:t>. Each of the representations and warranties (together with any related disclosure schedules thereto) and covenants made by the Company to the Purchasers in the Purchase Agreement in connection with the Placements is hereby incorporated herein by reference into this Agreement (as though fully restated herein) and is, as of the date of this Agreement and as of the Closing Date, hereby made to, and in favor of, the Placement Agent. In addition to the foregoing, the Company represents and warrants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has prepared and filed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 registration statement on Form F-3, as amended, (File No. 333-287686) for the registration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of the Securities, which registration statement became effective on June 13, 2025. At the time of such filing, the Company met the requirements of Form F-3 under the Securities Act. Such registration statement meets the requirements set forth in Rule 415(a)(1)(x) under the Securities Act and complies with said Rule. The Company will file with the Commission pursuant to Rule 424(b) under the Securities Act, and the rules and regulations (the “</w:t>
      </w:r>
      <w:r>
        <w:rPr>
          <w:rFonts w:ascii="Times New Roman;Times;Serif" w:hAnsi="Times New Roman;Times;Serif"/>
          <w:b/>
          <w:i w:val="false"/>
          <w:caps w:val="false"/>
          <w:smallCaps w:val="false"/>
          <w:sz w:val="20"/>
        </w:rPr>
        <w:t>Rules and Regulations</w:t>
      </w:r>
      <w:r>
        <w:rPr>
          <w:rFonts w:ascii="Times New Roman;Times;Serif" w:hAnsi="Times New Roman;Times;Serif"/>
          <w:b w:val="false"/>
          <w:i w:val="false"/>
          <w:caps w:val="false"/>
          <w:smallCaps w:val="false"/>
          <w:sz w:val="20"/>
        </w:rPr>
        <w:t>”) of the Commission promulgated thereunder, a supplement to the form of prospectus included in such registration statement relating to the placement of the Public Securities and the plan of distribution thereof and has advised the Placement Agent of all further information (financial and other) with respect to the Company required to be set forth therein. Such registration statement, including the exhibits thereto, as amended at the date of this Agreement, is hereinafter called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such prospectus in the form in which it appears in the Registration Statement is hereinafter called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and the supplemented form of prospectus, in the form in which it will be filed with the Commission pursuant to Rule 424(b) (including the Base Prospectus as so supplemented) is hereinafter called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Any reference in this Agreement to the Registration Statement, the Base Prospectus or the Prospectus Supplement shall be deemed to refer to and include the documents incorporated by reference therein (the “</w:t>
      </w:r>
      <w:r>
        <w:rPr>
          <w:rFonts w:ascii="Times New Roman;Times;Serif" w:hAnsi="Times New Roman;Times;Serif"/>
          <w:b/>
          <w:i w:val="false"/>
          <w:caps w:val="false"/>
          <w:smallCaps w:val="false"/>
          <w:sz w:val="20"/>
        </w:rPr>
        <w:t>Incorporated Documents</w:t>
      </w:r>
      <w:r>
        <w:rPr>
          <w:rFonts w:ascii="Times New Roman;Times;Serif" w:hAnsi="Times New Roman;Times;Serif"/>
          <w:b w:val="false"/>
          <w:i w:val="false"/>
          <w:caps w:val="false"/>
          <w:smallCaps w:val="false"/>
          <w:sz w:val="20"/>
        </w:rPr>
        <w:t>”) pursuant to Item 6 of Form F-3 which were filed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on or before the date of this Agreement, or the issue date of the Base Prospectus or the Prospectus Supplement, as the case may be; and any reference in this Agreement to the terms “amend,” “amendment” or “supplement” with respect to the Registration Statement, the Base Prospectus or the Prospectus Supplement shall be deemed to refer to and include the filing of any document under the Exchange Act after the date of this Agreement, or the issue date of the Base Prospectus or the Prospectus Supplement, as the case may be, deemed to be incorporated therein by reference. All references in this Agreement to financial statements and schedules and other information which is “contained,” “included,” “described,” “referenced,” “set forth” or “stated” in the Registration Statement, the Base Prospectus or the Prospectus Supplement (and all other references of like import) shall be deemed to mean and include all such financial statements and schedules and other information which is or is deemed to be incorporated by reference in the Registration Statement, the Base Prospectus or the Prospectus Supplement, as the case may be. No stop order suspending the effectiveness of the Registration Statement or the use of the Base Prospectus or the Prospectus Supplement has been issued, and no proceeding for any such purpose is pending or has been initiated or, to the Company’s knowledge, is threatened by the Commission. For purposes of this Agreement, “</w:t>
      </w:r>
      <w:r>
        <w:rPr>
          <w:rFonts w:ascii="Times New Roman;Times;Serif" w:hAnsi="Times New Roman;Times;Serif"/>
          <w:b/>
          <w:i w:val="false"/>
          <w:caps w:val="false"/>
          <w:smallCaps w:val="false"/>
          <w:sz w:val="20"/>
        </w:rPr>
        <w:t>Free Writing Prospectus</w:t>
      </w:r>
      <w:r>
        <w:rPr>
          <w:rFonts w:ascii="Times New Roman;Times;Serif" w:hAnsi="Times New Roman;Times;Serif"/>
          <w:b w:val="false"/>
          <w:i w:val="false"/>
          <w:caps w:val="false"/>
          <w:smallCaps w:val="false"/>
          <w:sz w:val="20"/>
        </w:rPr>
        <w:t>” has the meaning set forth in Rule 405 under the Securities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Registration Statement (and any further documents to be filed with the Commission) contains all exhibits and schedules as required by the Securities Act. Each of the Registration Statement and any post-effective amendment thereto, at the time it became effective, complied in all material respects with the Securities Act and the Exchange Act and the applicable Rules and Regulations and did not and, as amended or supplemented, if applicable, will not, contain any untrue statement of a material fact or omit to state a material fact required to be stated therein or necessary to make the statements therein not misleading. The Base Prospectus and the Prospectus Supplement, each as of its respective date, complied or will comply in all material respects with the Securities Act and the Exchange Act and the applicable Rules and Regulations. Each of the Base Prospectus, and the Prospectus Supplement, as amended or supplemented, did not and will not contain as of the date thereof any untrue statement of a material fact or omit to state a material fact necessary in order to make the statements therein, in the light of the circumstances under which they were made, not misleading. The Incorporated Documents, when they were filed with the Commission, conformed in all material respects to the requirements of the Exchange Act and the applicable Rules and Regulations, and none of such documents, when they were filed with the Commission, contained any untrue statement of a material fact or omitted to state a material fact necessary to make the statements therein (with respect to Incorporated Documents incorporated by reference in the Base Prospectus or Prospectus Supplement), in the light of the circumstances under which they were made not misleading; and any further documents so filed and incorporated by reference in the Base Prospectus, or Prospectus Supplement, when such documents are filed with the Commission, will conform in all material respects to the requirements of the Exchange Act and the applicable Rules and Regulations, as applicable, and will not contain any untrue statement of a material fact or omit to state a material fact necessary to make the statements therein, in the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Except for this Agreement and the Transaction Documents, there are no documents required to be filed with the Commission in connection with the transaction contemplated hereby that (x) have not been filed as required pursuant to the Securities Act or (y) will not be filed within the requisite time period. There are no contracts or other documents required to be described in the Base Prospectus, or Prospectus Supplement, or to be filed as exhibits or schedules to the Registration Statement, which (x) have not been described or filed as required or (y) will not be filed within the requisite time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is eligible to use Free Writing Prospectuses in connection with the Placement pursuant to Rules 164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behalf of or used by the Company complies or will comply in all material respects with the requirements of the Securities Act and the applicable rules and regulations of the Commission thereunder. The Company will not, without the prior consent of the Placement Agent, prepare, use or refer to, any Free Writing Prospectus.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has filed all reports, schedules, forms, statements or other documents required to be filed by the Company under the Securities Act or Exchange Act, during the three years preceding the date hereof (the foregoing materials filed during such three-year period, including the exhibits thereto and documents incorporated by reference therein, the “</w:t>
      </w:r>
      <w:r>
        <w:rPr>
          <w:rFonts w:ascii="Times New Roman;Times;Serif" w:hAnsi="Times New Roman;Times;Serif"/>
          <w:b/>
          <w:i w:val="false"/>
          <w:caps w:val="false"/>
          <w:smallCaps w:val="false"/>
          <w:sz w:val="20"/>
        </w:rPr>
        <w:t>SEC Reports</w:t>
      </w:r>
      <w:r>
        <w:rPr>
          <w:rFonts w:ascii="Times New Roman;Times;Serif" w:hAnsi="Times New Roman;Times;Serif"/>
          <w:b w:val="false"/>
          <w:i w:val="false"/>
          <w:caps w:val="false"/>
          <w:smallCaps w:val="false"/>
          <w:sz w:val="20"/>
        </w:rPr>
        <w:t>”). For the twelve months preceding the date hereof, the Company has filed the SEC Reports on a timely basis (including any valid extension of such time of filing provided under Rule 12b-5 or under coronavirus-related relief by the SEC) and has filed any such SEC Reports prior to the expiration of any such extension. As of their respective filing or amendment dates, the SEC Reports complied in all material respects with the requirements of the Exchange Act and the rules and regulations of the Commission promulgated thereunder; and as of their respective filing or amendment dates, the SEC Reports did not contain any untrue statement of a material fact or omit to state any material fact necessary in order to make the statements therein, in light of the circumstances under which they were made, not misleading.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There are no affiliations with any Financial Industry Regulatory Authority, Inc.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member firm among the Company’s officers, directors or, to the knowledge of the Company, any ten percent (10%) or greater shareholder of the Company, except as set forth in the Registration Statement and the SEC Reports.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has delivered or made available, or will as promptly as practicable deliver or make available, to the Placement Agent complete conformed copies of the Registration Statement and of each consent and certificate of experts, as applicable, filed as a part thereof, and conformed copies of the Registration Statement (without exhibits), the Base Prospectus, and the Prospectus Supplement, as amended or supplemented, in such quantities and at such places as the Placement Agent reasonably requests. Neither the Company nor any of its directors and officers has distributed and none of them will distribute, prior to the Closing Date, any offering material in connection with the offering and sale of the Securities pursuant to the Placements other than the Transaction Documents, the Base Prospectus, the Prospectus Supplement, the Registration Statement, copies of the documents incorporated by reference therein and any other materials permitted by the Securities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will advise the Placement Agent promptly after it receives notice thereof of the time when any amendment to the Registration Statement has been filed or becomes effective or any supplement to the Base Prospectus or the Prospectus Supplement has been filed and will furnish the Placement Agent with copies thereof, the parties acknowledging that such obligation is satisfied by filing such materials on the EDGAR system of the SEC. The Company will file promptly all reports and any definitive proxy or information statements required to be filed by the Company with the Commission pursuant to Section 13(a), 14 or 15(d) of the Exchange Act subsequent to the date of the Prospectus Supplement and for so long as the delivery of a prospectus is required in connection with the Placement. The Company will advise the Placement Agent, promptly after it receives notice thereof (i) of any request by the Commission to amend the Registration Statement or to amend or supplement any Prospectus or for additional information, and (ii) of the issuance by the Commission of any stop order suspending the effectiveness of the Registration Statement or any post-effective amendment thereto or any order directed at any Incorporated Document, if any, or any amendment or supplement thereto or any order preventing or suspending the use of the Base Prospectus or the final Prospectus or any prospectus supplement or any amendment or supplement thereto or any post-effective amendment to the Registration Statement, of the suspension of the qualification of any of the Public Securities for offering or sale in any jurisdiction, of the institution or threatened institution of any proceeding for any such purpose, or of any request by the Commission for the amending or supplementing of the Registration Statement or a Prospectus or for additional information. The Company shall use its best efforts to prevent the issuance of any such stop order or prevention or suspension of such use. If the Commission shall enter any such stop order or order or notice of prevention or suspension at any time, the Company will use its best efforts to obtain the lifting of such order at the earliest possible moment, or will file a new registration statement and use its best efforts to have such new registration statement declared effective as soon as practicable. Additionally, the Company agrees that it shall comply with the provisions of Rules 424(b), 430A, 430B and 430C, as applicable, under the Securities Act, including with respect to the timely filing of documents thereunder, and will use its best efforts to confirm that any filings made by the Company under such Rule 424(b) are received in a timely manner by the Commission.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will cooperate with the Placement Agent and the Purchasers in endeavoring to qualify the Securities for sale under the securities laws of such jurisdictions (United States and foreign) as the Placement Agent and the Purchasers may reasonably request and will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and provided further that the Company shall not be required to produce any new disclosure document. The Company will, from time to time, prepare and file such statements, reports and other documents as are or may be required to continue such qualifications in effect for so long a period as the Placement Agent may reasonably request for distribution of the Securities. The Company will advise the Placement Agent promptly of the suspension of the qualification or registration of (or any such exemption relating to) the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will comply with the Securities Act and the Exchange Act, and the rules and regulations of the Commission thereunder, so as to permit the completion of the distribution of the Securities as contemplated in this Agreement, the Incorporated Documents and any Prospectus. If during the period in which a prospectus is required by law to be delivered in connection with the distribution of any Securities contemplated by the Incorporated Documents or any Prospectus (the “</w:t>
      </w:r>
      <w:r>
        <w:rPr>
          <w:rFonts w:ascii="Times New Roman;Times;Serif" w:hAnsi="Times New Roman;Times;Serif"/>
          <w:b/>
          <w:i w:val="false"/>
          <w:caps w:val="false"/>
          <w:smallCaps w:val="false"/>
          <w:sz w:val="20"/>
        </w:rPr>
        <w:t>Prospectus Delivery Period</w:t>
      </w:r>
      <w:r>
        <w:rPr>
          <w:rFonts w:ascii="Times New Roman;Times;Serif" w:hAnsi="Times New Roman;Times;Serif"/>
          <w:b w:val="false"/>
          <w:i w:val="false"/>
          <w:caps w:val="false"/>
          <w:smallCaps w:val="false"/>
          <w:sz w:val="20"/>
        </w:rPr>
        <w:t>”), any event shall occur as a result of which, in the judgment of the Company or in the opinion of the Placement Agent or counsel for the Placement Agent, it becomes necessary to amend or supplement the Incorporated Documents or any Prospectus in order to make the statements therein, in the light of the circumstances under which they were made, as the case may be, not misleading, or if it is necessary at any time to amend or supplement the Incorporated Documents or any Prospectus or to file under the Exchange Act any Incorporated Document to comply with any law, the Company will promptly prepare and file with the Commission, and furnish at its own expense to the Placement Agent and to dealers, an appropriate amendment to the Registration Statement or supplement to the Registration Statement, the Incorporated Documents or any Prospectus that is necessary in order to make the statements in the Incorporated Documents and any Prospectus as so amended or supplemented, in the light of the circumstances under which they were made, as the case may be, not misleading, or so that the Registration Statement, the Incorporated Documents or any Prospectus, as so amended or supplemented, will comply with law. Before amending the Registration Statement or supplementing the Incorporated Documents or any Prospectus in connection with the Placement, the Company will furnish the Placement Agent with a copy of such proposed amendment or supplement and will not file any such amendment or supplement to which the Placement Agent reasonably objects.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During the Prospectus Delivery Period, the Company will duly file, on a timely basis, with the Commission and the Trading Market all reports and documents required to be filed under the Exchange Act within the time periods and in the manner required by the Exchange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Company will not take, directly or indirectly, any action designed to cause or result in, or that has constituted or might reasonably be expected to constitute, the stabilization or manipulation of the price of any securities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If any of the conditions specified in this Section 1(B) shall not have been fulfilled when and as provided in this Agreement, or if any of the opinions and certificates mentioned above or elsewhere in this Agreement shall not be reasonably satisfactory in form and substance to the Placement Agent and its counsel, this Agreement and all obligations of the Placement Agent hereunder may be canceled at, or at any time prior to, the Closing Date by the Placement Agent. Notice of such cancellation shall be given to the Company in writing or by telephone or facsimile confirmed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REPRESENTATIONS OF THE PLACEMENT AGENT</w:t>
      </w:r>
      <w:r>
        <w:rPr>
          <w:rFonts w:ascii="Times New Roman;Times;Serif" w:hAnsi="Times New Roman;Times;Serif"/>
          <w:b w:val="false"/>
          <w:i w:val="false"/>
          <w:caps w:val="false"/>
          <w:smallCaps w:val="false"/>
          <w:sz w:val="20"/>
        </w:rPr>
        <w:t>. The Placement Agent represents and warrants that it (i) is a member in good standing of FINRA, (ii) is registered as a broker/dealer under the Exchange Act, (iii) is licensed as a broker/dealer under the laws of the States applicable to the offers and sales of the Securities by the Placement Agent, (iv) is and will be a corporate entity validly existing under the laws of its place of formation, and (v) has full power and authority to enter into and perform its obligations under this Agreement. The Placement Agent will immediately notify the Company in writing of any change in its status as such. The Placement Agent covenants that it will use its reasonable best efforts to conduct the Placement hereunder in compliance with the provisions of this Agreement and the requirements of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COMPENSATION; OTHER ARRANGEMENTS</w:t>
      </w:r>
      <w:r>
        <w:rPr>
          <w:rFonts w:ascii="Times New Roman;Times;Serif" w:hAnsi="Times New Roman;Times;Serif"/>
          <w:b w:val="false"/>
          <w:i w:val="false"/>
          <w:caps w:val="false"/>
          <w:smallCaps w:val="false"/>
          <w:sz w:val="20"/>
        </w:rPr>
        <w:t>. In consideration of the services to be provided for hereunder by the Placement Agent, the Company shall pay to the Placement Agent the following compensation with respect to the Securities which the Placement Agent is placing: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cash fee (the “</w:t>
      </w:r>
      <w:r>
        <w:rPr>
          <w:rFonts w:ascii="Times New Roman;Times;Serif" w:hAnsi="Times New Roman;Times;Serif"/>
          <w:b/>
          <w:i w:val="false"/>
          <w:caps w:val="false"/>
          <w:smallCaps w:val="false"/>
          <w:sz w:val="20"/>
        </w:rPr>
        <w:t>Cash Fee</w:t>
      </w:r>
      <w:r>
        <w:rPr>
          <w:rFonts w:ascii="Times New Roman;Times;Serif" w:hAnsi="Times New Roman;Times;Serif"/>
          <w:b w:val="false"/>
          <w:i w:val="false"/>
          <w:caps w:val="false"/>
          <w:smallCaps w:val="false"/>
          <w:sz w:val="20"/>
        </w:rPr>
        <w:t>”) equal to seven percent (7.0%) of the aggregate gross proceeds raised in the Placement. The Cash Fee shall be paid at the closing of the Placements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non-accountable expense equal to half percent (0.5%) of the aggregate gross proceeds raised in the Placement.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compliance with FINRA Rule 5110(f)(2)(D), the Company also agrees to reimburse the Placement Agent for all reasonable travel and other out-of-pocket expenses, including the reasonable fees, costs and disbursements of its legal counsel, in an amount not to exceed an aggregate of $60,000. The Company will reimburse the Placement Agent directly as soon as applicable once requested.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If within three (3) months after the end of the Term (as defined below), the Company completes any financing of equity, equity-linked or debt or other capital-raising activity of the Company for which any investors in the Placement were formally introduced by the Placement Agent via email in connection therewith (other than the exercise by any person or entity of any options, warrants or other convertible securities), with whom the Company had no prior contact or dealing, then the Company shall pay to the Placement Agent a commission as described in Section 3(A)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Placement Agent reserves the right to reduce any item of its compensation or adjust (in the Company’s favor) the terms thereof as specified herein in the event that a determination shall be made by FINRA to the effect that the Placement Agent’s aggregate compensation is in excess of FINRA’s rules and regulations or that the terms thereof require adjustment.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The Company agrees to the indemnification and other agreements set forth in the Indemnification Provisions (the “</w:t>
      </w: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attached hereto as </w:t>
      </w:r>
      <w:r>
        <w:rPr>
          <w:rFonts w:ascii="Times New Roman;Times;Serif" w:hAnsi="Times New Roman;Times;Serif"/>
          <w:b w:val="false"/>
          <w:i w:val="false"/>
          <w:caps w:val="false"/>
          <w:smallCaps w:val="false"/>
          <w:sz w:val="20"/>
          <w:u w:val="single"/>
        </w:rPr>
        <w:t>Addendum A</w:t>
      </w:r>
      <w:r>
        <w:rPr>
          <w:rFonts w:ascii="Times New Roman;Times;Serif" w:hAnsi="Times New Roman;Times;Serif"/>
          <w:b w:val="false"/>
          <w:i w:val="false"/>
          <w:caps w:val="false"/>
          <w:smallCaps w:val="false"/>
          <w:sz w:val="20"/>
        </w:rPr>
        <w:t>, the provisions of which are incorporated herein by reference and shall survive the termination or expiration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ENGAGEMENT TERM</w:t>
      </w:r>
      <w:r>
        <w:rPr>
          <w:rFonts w:ascii="Times New Roman;Times;Serif" w:hAnsi="Times New Roman;Times;Serif"/>
          <w:b w:val="false"/>
          <w:i w:val="false"/>
          <w:caps w:val="false"/>
          <w:smallCaps w:val="false"/>
          <w:sz w:val="20"/>
        </w:rPr>
        <w:t>. The Placement Agent’s engagement hereunder shall be until the final Closing Date of the Placement (such date,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and the period of time during which this Agreement remains in effect is referred to herein as the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Notwithstanding anything to the contrary contained herein, the provisions concerning the Company’s obligation to pay any fees actually earned pursuant to Section 3 hereof and the provisions concerning confidentiality, indemnification and contribution contained herein and the Company’s obligations contained in the Indemnification Provisions attached hereto as </w:t>
      </w:r>
      <w:r>
        <w:rPr>
          <w:rFonts w:ascii="Times New Roman;Times;Serif" w:hAnsi="Times New Roman;Times;Serif"/>
          <w:b w:val="false"/>
          <w:i w:val="false"/>
          <w:caps w:val="false"/>
          <w:smallCaps w:val="false"/>
          <w:sz w:val="20"/>
          <w:u w:val="single"/>
        </w:rPr>
        <w:t>Addendum A</w:t>
      </w:r>
      <w:r>
        <w:rPr>
          <w:rFonts w:ascii="Times New Roman;Times;Serif" w:hAnsi="Times New Roman;Times;Serif"/>
          <w:b w:val="false"/>
          <w:i w:val="false"/>
          <w:caps w:val="false"/>
          <w:smallCaps w:val="false"/>
          <w:sz w:val="20"/>
        </w:rPr>
        <w:t> will survive any expiration or termination of this Agreement. If this Agreement is terminated prior to the completion of the Placement, all fees and expense reimbursements due to the Placement Agent shall be paid by the Company to the Placement Agent on or before the Termination Date (in the event such fees are earned or owed as of the Termination Date). The Placement Agent agrees not to use any confidential information concerning the Company provided to the Placement Agent by the Company for any purposes other than those contemplated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PLACEMENT AGENT’S INFORMATION</w:t>
      </w:r>
      <w:r>
        <w:rPr>
          <w:rFonts w:ascii="Times New Roman;Times;Serif" w:hAnsi="Times New Roman;Times;Serif"/>
          <w:b w:val="false"/>
          <w:i w:val="false"/>
          <w:caps w:val="false"/>
          <w:smallCaps w:val="false"/>
          <w:sz w:val="20"/>
        </w:rPr>
        <w:t>. The Company agrees that any information or advice rendered by the Placement Agent in connection with this engagement is for the confidential use of the Company only in its evaluation of the Placement and, except as otherwise required by law, the Company will not disclose or otherwise refer to the advice or information in any manner without the Placement Agent’s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NO FIDUCIARY RELATIONSHIP</w:t>
      </w:r>
      <w:r>
        <w:rPr>
          <w:rFonts w:ascii="Times New Roman;Times;Serif" w:hAnsi="Times New Roman;Times;Serif"/>
          <w:b w:val="false"/>
          <w:i w:val="false"/>
          <w:caps w:val="false"/>
          <w:smallCaps w:val="false"/>
          <w:sz w:val="20"/>
        </w:rPr>
        <w:t>. This Agreement does not create, and shall not be construed as creating rights enforceable by any person or entity not a party hereto, except those entitled hereto by virtue of the Indemnification Provisions attached hereto as </w:t>
      </w:r>
      <w:r>
        <w:rPr>
          <w:rFonts w:ascii="Times New Roman;Times;Serif" w:hAnsi="Times New Roman;Times;Serif"/>
          <w:b w:val="false"/>
          <w:i w:val="false"/>
          <w:caps w:val="false"/>
          <w:smallCaps w:val="false"/>
          <w:sz w:val="20"/>
          <w:u w:val="single"/>
        </w:rPr>
        <w:t>Addendum A</w:t>
      </w:r>
      <w:r>
        <w:rPr>
          <w:rFonts w:ascii="Times New Roman;Times;Serif" w:hAnsi="Times New Roman;Times;Serif"/>
          <w:b w:val="false"/>
          <w:i w:val="false"/>
          <w:caps w:val="false"/>
          <w:smallCaps w:val="false"/>
          <w:sz w:val="20"/>
        </w:rPr>
        <w:t> hereof. The Company acknowledges and agrees that the Placement Agent is not nor shall it be construed as a fiduciary of the Company and the Placement Agent shall not have any duties or liabilities to the equity holders or the creditors of the Company or any other person by virtue of this Agreement or the retention of the Placement Agent hereunder, all of which are hereby expressly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obligations of the Placement Agent, and the Closing of the sale of the Securities hereunder are subject to the accuracy, when made and on the Closing Date, of the representations and warranties on the part of the Company contained herein and in the Purchase Agreement, to the accuracy of the statements of the Company made in any certificates pursuant to the provisions hereof, to the performance by the Company of their obligations hereunder, and to each of the following additional terms and conditions, except as otherwise disclosed to and acknowledged and waived by the Placement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stop order suspending the effectiveness of the Registration Statement shall have been issued and no proceedings for that purpose shall have been initiated or threatened by the Commission, and any request for additional information on the part of the Commission (to be included in the Registration Statement, the Base Prospectus, the Prospectus Supplement or otherwise) shall have been complied with to the reasonable satisfaction of the Placement Agent. Any filings required to be made by the Company in connection with the Placement shall have been timely filed with the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Placement Agent shall not have discovered and disclosed to the Company on or prior to the Closing Date that the Registration Statement, the Base Prospectus, the Prospectus Supplement or any amendment or supplement thereto contains an untrue statement of a fact which, in the opinion of counsel for the Placement Agent, is material or omits to state any fact which, in the opinion of such counsel, is material and is required to be stated therein or is necessary to make the statements therein not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corporate proceedings and other legal matters incident to the authorization, form, execution, delivery and validity of each of this Agreement, the other Transaction Documents, the Securities, the Registration Statement, the Base Prospectus and the Prospectus Supplement and all other legal matters relating to this Agreement and the transactions contemplated hereby and thereby shall be reasonably satisfactory in all material respects to counsel for the Placement Agent and the Company shall have furnished to such counsel all documents and information that they may reasonably request to enable them to pass upon such matters.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Placement Agent shall have completed its due diligence investigation of the Company to the satisfaction of the Placement Agent and its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Placement Agent shall have received from outside counsels to the Company such counsels’ written opinions, addressed to the Placement Agent and the Purchasers and dated as of the Closing Date, in form and substance reasonably satisfactory to the Placement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On the date of this Agreement and on the Closing Date, the Placement Agent shall have received a certificate of the chief financial officer of the Company, as of each such date, addressed to the Placement Agent and in form and substance satisfactory in all respects to the Placement Agent, providing a customary certification as to such accounting or financial matters that are included or incorporated by reference in the Registration Statement or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On the Closing Date, Placement Agent shall have received a certificate of signed by the chief executive officer of the Company, dated, as applicable, as of the date of such Closing, to the effect that, as of the date of this Agreement and as of the Closing Date, the representations and warranties of the Company contained herein and in the Purchase Agreement were and are accurate in all material respects, except for such changes as are contemplated by this Agreement and except as to representations and warranties that were expressly limited to a state of facts existing at a time prior to the applicable Closing Date, and that, as of the applicable date, the obligations to be performed by the Company hereunder on or prior thereto have been fully performed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On the Closing Date, Placement Agent shall have received from the Company a certificate of the corporate secretary of the Company, dated, as applicable, as of the date of such Closing, certifying to the organizational documents of the Company, good standing in the jurisdiction of formation of the Company and board resolutions authorizing the Placement of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(i) shall not have sustained since the date of the latest audited financial statements included or incorporated by reference in the Registration Statement, the Base Prospectus and the Prospectus Supplement, any loss or interference with its business as a result of any fire, explosion, flood, terrorist act, epidemic or pandemic (including as a result of the coronavirus known as COVID-19), any change in general economic, political or financial conditions in the United States or elsewhere, act of war or other calamity, whether or not covered by insurance, or from any labor dispute or court or governmental action, order or decree, otherwise than as set forth in or contemplated by the Registration Statement, the Base Prospectus and the Prospectus Supplement, and (ii) since such date there shall not have been any change in the capital stock, except for a ten to one reverse stock split, or long-term debt of the Company or any change, or any development involving a prospective change, in or affecting the business, general affairs, management, financial position, shareholders’ equity, results of operations or prospects of the Company, otherwise than as set forth in or contemplated by the Registration Statement, the Base Prospectus and the Prospectus Supplement, the effect of which, in any such case described in clause (i) or (ii), is, in the judgment of the Placement Agent, so material and adverse as to make it impracticable or inadvisable to proceed with the sale or delivery of the Securities on the terms and in the manner contemplated by the Base Prospectus, the Prospectus Supplement and the 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Ordinary Share is registered under the Exchange Act and, as of the Closing Date, the Company has submitted the notification of listing of additional shares of Ordinary Share, including the Securities to the Trading Market or other U.S. applicable national exchange, and the Securities shall be listed for trading on the Trading Market or other applicable U.S. national exchange and reasonable evidence of such action, if available, shall have been provided to the Placement Agent. The Company shall have taken no action designed to terminate, or likely to have the effect of, terminating the registration of the Ordinary Share under the Exchange Act or delisting or suspending from trading the Ordinary Share from the Trading Market or other applicable U.S. national exchange, nor has the Company received any information suggesting that the Commission or the Trading Market or other U.S. applicable national exchange is contemplating terminating such registration or listing.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action shall have been taken and no statute, rule, regulation or order shall have been enacted, adopted or issued by any governmental agency or body which would, as of the Closing Date, prevent the issuance or sale of the Securities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Securities or materially and adversely affect or potentially and adversely affect the business or operations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shall have prepared and filed with the Commission a Current Report on Form 6-K with respect to the Placement, including as an exhibit thereto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shall have entered into a Purchase Agreement with each of the Purchasers and such agreements shall be in full force and effect and shall contain representations, warranties and covenants of the Company as agreed between the Company and the Purchasers.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FINRA shall have raised no objection to the fairness and reasonableness of the terms and arrangements of this Agreement. In addition, the Company shall, if requested by the Placement Agent, make or authorize Placement Agent’s counsel to make on the Company’s behalf, any filing with the FINRA Corporate Financing Department pursuant to FINRA Rule 5110 with respect to the Placement and pay all filing fees required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shall apply the net proceeds from the Placement received by it in a manner consistent with the application thereof described under the caption or heading “Use of Proceeds” in the Registration Statement, the Base Prospectus, the Prospectus Supplement and the 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Prior to the Closing Date, the Company shall have furnished to the Placement Agent such further information, certificates and documents as the Placement Agent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conditions specified in this Section 8 shall not have been fulfilled when and as required by this Agreement, or if any of the certificates, opinions, written statements or letters furnished to the Placement Agent or to Placement Agent’s counsel pursuant to this Section 8 shall not be reasonably satisfactory in form and substance to the Placement Agent and to Placement Agent’s counsel, all obligations of the Placement Agent hereunder may be cancelled by the Placement Agent at, or at any time prior to, the consummation of the Closing. Notice of such cancellation shall be given to the Company in writing or orally. Any such oral notice shall be confirmed promptly thereafter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FUTURE SERVICES</w:t>
      </w:r>
      <w:r>
        <w:rPr>
          <w:rFonts w:ascii="Times New Roman;Times;Serif" w:hAnsi="Times New Roman;Times;Serif"/>
          <w:b w:val="false"/>
          <w:i w:val="false"/>
          <w:caps w:val="false"/>
          <w:smallCaps w:val="false"/>
          <w:sz w:val="20"/>
        </w:rPr>
        <w:t>. The Company and Univest agree that for a period of six (6) months from the closing date of the Offering, the Company grants Univest the right to provide investment banking services to the Company on an exclusive basis in the matters below, for which investment banking services are sought by the Company (such right, the “</w:t>
      </w:r>
      <w:r>
        <w:rPr>
          <w:rFonts w:ascii="Times New Roman;Times;Serif" w:hAnsi="Times New Roman;Times;Serif"/>
          <w:b/>
          <w:i w:val="false"/>
          <w:caps w:val="false"/>
          <w:smallCaps w:val="false"/>
          <w:sz w:val="20"/>
        </w:rPr>
        <w:t>Right of First Refusal</w:t>
      </w:r>
      <w:r>
        <w:rPr>
          <w:rFonts w:ascii="Times New Roman;Times;Serif" w:hAnsi="Times New Roman;Times;Serif"/>
          <w:b w:val="false"/>
          <w:i w:val="false"/>
          <w:caps w:val="false"/>
          <w:smallCaps w:val="false"/>
          <w:sz w:val="20"/>
        </w:rPr>
        <w:t>”), which right is exercisable in Univest's sole discretion. For these purposes, investment banking services shall include, (a) acting as lead or joint-lead manager for any underwritten public offering; (b) acting as lead or joint book-runner and/or lead or joint placement agent, initial purchaser in connection with any private offering of securities of the Company, excluding any private placement transactions between the Company and non-U.S. persons in compliance with Regulation S promulgated under the Securities Act, provided that no placement agent, underwriter or other investment bank is engaged in connection with such transactions; and (c) acting as financial advisor in connection with any sale or other transfer by the Company, directly or indirectly, of a majority or controlling portion of its capital stock or assets to another entity, any purchase or other transfer by another entity, directly or indirectly, of a majority or controlling portion of the capital stock or assets of the Company, and any merger or consolidation of the Company with another entity. Univest shall notify the Company of its intention to exercise the Right of First Refusal within 15 business days following notice in writing by the Company. Any decision by Univest to act in any such capacity shall be contained in separate agreements, which agreements would contain, among other matters, provisions for customary fees for transactions of similar size and nature, as may be mutually agreed upon, and indemnification of Univest and shall be subject to general market conditions. In compliance with FINRA Rule 5110(g)(6)(A), in no circumstances the Right of First Refusal shall have a duration of more than three years from the commencement of sales of the public offering or the termination date of the engagement between the Company and Univest. If Univest declines to exercise the Right of First Refusal, the Company shall have the right to retain any other person or persons to provide such services on terms and conditions which are not more favorable to such other person or persons than the terms declined by Univest. The Right of First Refusal granted hereunder may be terminated by the Company for "Cause," which shall mean a material breach by Univest of this Agreement or a material failure by Univest to provide the services as contemplated by this Agreement. The services provided by Univest hereunder are solely for the benefit of the Company and are not intended to confer any rights upon any persons or entities not a party hereto (including, without limitation, securityholders, employees or creditors of the Company) as against Univest or its directors, officers, agents and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will be governed by, and construed in accordance with, the laws of the State of New York applicable to agreements made and to be performed entirely in such State.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the Company hereby accepts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If either party shall commence an action or proceeding to enforce any provisions of a Transaction Document, then the prevailing party in such action or proceeding shall be reimbursed by the other party for its attorney’s fees and other costs and expenses incurred with the investigation, preparation and prosecution of such action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ENTIRE AGREEMENT/MISC</w:t>
      </w:r>
      <w:r>
        <w:rPr>
          <w:rFonts w:ascii="Times New Roman;Times;Serif" w:hAnsi="Times New Roman;Times;Serif"/>
          <w:b w:val="false"/>
          <w:i w:val="false"/>
          <w:caps w:val="false"/>
          <w:smallCaps w:val="false"/>
          <w:sz w:val="20"/>
        </w:rPr>
        <w:t>. This Agreement (including the Indemnification Provisions attached hereto as </w:t>
      </w:r>
      <w:r>
        <w:rPr>
          <w:rFonts w:ascii="Times New Roman;Times;Serif" w:hAnsi="Times New Roman;Times;Serif"/>
          <w:b w:val="false"/>
          <w:i w:val="false"/>
          <w:caps w:val="false"/>
          <w:smallCaps w:val="false"/>
          <w:sz w:val="20"/>
          <w:u w:val="single"/>
        </w:rPr>
        <w:t>Addendum A</w:t>
      </w:r>
      <w:r>
        <w:rPr>
          <w:rFonts w:ascii="Times New Roman;Times;Serif" w:hAnsi="Times New Roman;Times;Serif"/>
          <w:b w:val="false"/>
          <w:i w:val="false"/>
          <w:caps w:val="false"/>
          <w:smallCaps w:val="false"/>
          <w:sz w:val="20"/>
        </w:rPr>
        <w:t>) embodies the entire agreement and understanding between the parties hereto with respect to this Placement, and supersedes all prior agreements and understandings, relating to the subject matter hereof.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both the Placement Agent and the Company. The representations, warranties, agreements and covenants contained herein shall survive the Closing of the Placement and delivery of the Securities. This Agreement may be executed in two or more counterparts, all of which when taken together shall be considered one and the same agreement and shall become effective when counterparts have been signed by each party hereto and delivered to the other party hereto, it being understood that both parties hereto need not sign the same counterpart. In the event that any signature is delivered by facsimile transmission or a .pdf format file,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The Placement Agent (i) will keep the Confidential Information (as such term is defined below) confidential and will not (except as required by applicable law or Trading Market or other stock exchange requirement, regulation or legal process (“</w:t>
      </w:r>
      <w:r>
        <w:rPr>
          <w:rFonts w:ascii="Times New Roman;Times;Serif" w:hAnsi="Times New Roman;Times;Serif"/>
          <w:b/>
          <w:i w:val="false"/>
          <w:caps w:val="false"/>
          <w:smallCaps w:val="false"/>
          <w:sz w:val="20"/>
        </w:rPr>
        <w:t>Legal Requirement</w:t>
      </w:r>
      <w:r>
        <w:rPr>
          <w:rFonts w:ascii="Times New Roman;Times;Serif" w:hAnsi="Times New Roman;Times;Serif"/>
          <w:b w:val="false"/>
          <w:i w:val="false"/>
          <w:caps w:val="false"/>
          <w:smallCaps w:val="false"/>
          <w:sz w:val="20"/>
        </w:rPr>
        <w:t>”)), without the Company’s prior written consent, disclose to any person any Confidential Information, and (ii) will not use any Confidential Information other than in connection with the Placement. The Placement Agent further agrees to disclose the Confidential Information only to its Representatives (as such term is defined below) who need to know the Confidential Information for the purpose of the Placement, and who are informed by the Placement Agent of the confidential nature of the Confidential Information. The term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shall mean, all confidential, proprietary and non-public information (whether written, oral or electronic communications) furnished by the Company to the Placement Agent or its Representatives in connection with such Placement Agent’s evaluation of the Placement. The term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will not, however, include information which (i) is or becomes publicly available other than as a result of a disclosure by the Placement Agent or its Representatives in violation of this Agreement, (ii) is or becomes available to the Placement Agent or any of its Representatives on a non-confidential basis from a third-party, (iii) is known to the Placement Agent or any of its Representatives prior to disclosure by the Company or any of its Representatives, or (iv) is or has been independently developed by the Placement Agent and/or the Representatives without use of any Confidential Information furnished to it by the Company. The term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shall mean with respect to the Placement Agent, its directors, board committees, officers, employees, financial advisors, attorneys and accountants. This provision shall be in full force until the earlier of (a) the date on which the Confidential Information ceases to be confidential and (b) two years from the date hereof. Notwithstanding any of the foregoing, in the event that the Placement Agent or any of its Representatives are required by Legal Requirement to disclose any of the Confidential Information, the Placement Agent and its Representatives will furnish only that portion of the Confidential Information which the Placement Agent or its Representative, as applicable, is required to disclose by Legal Requirement as advised by counsel, and will use reasonable efforts to obtain reliable assurance that confidential treatment will be accorded the Confidential Information so disclosed.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date of transmission, if such notice or communication is sent to the email address specified on the signature pages attached hereto prior to 6:30 p.m. (New York City time) on a business day, (b) the next business day after the date of transmission, if such notice or communication is sent to the email address on the signature pages attached hereto on a day that is not a business day or later than 6:30 p.m. (New York City time) on any business day, (c) the third business day following the date of mailing, if sent by U.S. internationally recognized air courier service, or (d) upon actual receipt by the party to whom such notice is required to be given. The address for such notices and communications shall be as set forth on the signature pages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val="false"/>
          <w:caps/>
          <w:sz w:val="20"/>
          <w:u w:val="single"/>
        </w:rPr>
        <w:t>PRESS ANNOUNCEMENTS</w:t>
      </w:r>
      <w:r>
        <w:rPr>
          <w:rFonts w:ascii="Times New Roman;Times;Serif" w:hAnsi="Times New Roman;Times;Serif"/>
          <w:b w:val="false"/>
          <w:i w:val="false"/>
          <w:caps w:val="false"/>
          <w:smallCaps w:val="false"/>
          <w:sz w:val="20"/>
        </w:rPr>
        <w:t>. The Company agrees that the Placement Agent shall, from and after any Closing, have the right to reference the Placement and the Placement Agent’s role in connection therewith in the Placement Agent’s marketing materials and on its website and to place advertisements in financial and other newspapers and journals, in each case at its own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has been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that the foregoing correctly sets forth our agreement by signing and returning to Univest the enclosed copy of this Agreement.</w:t>
      </w:r>
    </w:p>
    <w:p>
      <w:pPr>
        <w:pStyle w:val="TextBody"/>
        <w:bidi w:val="0"/>
        <w:spacing w:before="0" w:after="0"/>
        <w:ind w:left="0" w:right="0" w:firstLine="720"/>
        <w:jc w:val="both"/>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320"/>
        <w:gridCol w:w="36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UNIVEST SECURITIES,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5"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Edric Yi Guo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Edric Yi Guo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CEO and Head of Investment Banking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Address for notice</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Rockefeller Plaza #25A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Edric Guo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yguo@univest.us</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 of</w:t>
        <w:br/>
        <w:t>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009" w:type="dxa"/>
        <w:jc w:val="left"/>
        <w:tblInd w:w="0" w:type="dxa"/>
        <w:tblLayout w:type="fixed"/>
        <w:tblCellMar>
          <w:top w:w="0" w:type="dxa"/>
          <w:left w:w="0" w:type="dxa"/>
          <w:bottom w:w="0" w:type="dxa"/>
          <w:right w:w="0" w:type="dxa"/>
        </w:tblCellMar>
      </w:tblPr>
      <w:tblGrid>
        <w:gridCol w:w="460"/>
        <w:gridCol w:w="810"/>
        <w:gridCol w:w="2664"/>
        <w:gridCol w:w="75"/>
      </w:tblGrid>
      <w:tr>
        <w:trPr/>
        <w:tc>
          <w:tcPr>
            <w:tcW w:w="393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34" w:type="dxa"/>
            <w:gridSpan w:val="3"/>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74"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Zhen Fan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0" w:type="dxa"/>
            <w:tcBorders/>
            <w:vAlign w:val="center"/>
          </w:tcPr>
          <w:p>
            <w:pPr>
              <w:pStyle w:val="TableContents"/>
              <w:bidi w:val="0"/>
              <w:spacing w:before="0" w:after="283"/>
              <w:jc w:val="left"/>
              <w:rPr>
                <w:caps w:val="false"/>
                <w:smallCaps w:val="false"/>
              </w:rPr>
            </w:pPr>
            <w:r>
              <w:rPr>
                <w:caps w:val="false"/>
                <w:smallCaps w:val="false"/>
              </w:rPr>
              <w:t> </w:t>
            </w:r>
          </w:p>
        </w:tc>
        <w:tc>
          <w:tcPr>
            <w:tcW w:w="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Zhen Fan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0" w:type="dxa"/>
            <w:tcBorders/>
            <w:vAlign w:val="center"/>
          </w:tcPr>
          <w:p>
            <w:pPr>
              <w:pStyle w:val="TableContents"/>
              <w:bidi w:val="0"/>
              <w:spacing w:before="0" w:after="283"/>
              <w:jc w:val="left"/>
              <w:rPr>
                <w:caps w:val="false"/>
                <w:smallCaps w:val="false"/>
              </w:rPr>
            </w:pPr>
            <w:r>
              <w:rPr>
                <w:caps w:val="false"/>
                <w:smallCaps w:val="false"/>
              </w:rPr>
              <w:t> </w:t>
            </w:r>
          </w:p>
        </w:tc>
        <w:tc>
          <w:tcPr>
            <w:tcW w:w="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34"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3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Address for notice</w:t>
            </w: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34"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3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Haoxi Health Technology Limited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34" w:type="dxa"/>
            <w:gridSpan w:val="3"/>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801, Tower C, Floor 8, Building 103,</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Huizhongli</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34"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Mr. Zhen Fan, CEO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fanzhen@haoximedia.com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Placement Agency Agreement Between Haoxi Health Technology Limited and Univest Securities,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ADDENDUM 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INDEMNIFICATION PROVISIONS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engagement of Univest Securities, LLC (“Univest” or the “Lead Manager”) or together with other broker dealers registered with FINRA and caused by Univest to also act as a manager in connection with the Placements of the Securities (the “Lead Managers”) to be issued by Haoxi Health Technology Limited (the “Company”) pursuant to the Placement Agency Agreement, dated July 10, 2026, by and between the Company and the Lead Manager(s), as it may be amended from time to time in writing (the “Agreement”), the Company hereby agrees as follows (capitalized terms used herein without definition shall have the meanings ascribed to such terms in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the extent permitted by law, the Company shall indemnify the Lead Manager(s) and each of their respective affiliates, directors, officers, employees, agents and controlling persons (within the meaning of Section 15 of the Securities Act or Section 20 of the Exchange Act) against all joint or several losses, claims, damages, expenses and liabilities (or actions, including shareholder actions, in respect thereof), as the same are incurred (including the reasonable fees and expenses of counsel), relating to or arising out of its activities hereunder or pursuant to the Agreement, including, without limitation, those which arise out of or are based on (i) any untrue statement or alleged untrue statement of a material fact contained in the Registration Statement (or any amendment thereto), including the information deemed to be a part of the Registration Statement at the time of effectiveness and at any subsequent time pursuant to Rules 430A and 430B of the Securities Act and the rules and regulations thereunder, as applicable, or the omission or alleged omission therefrom of a material fact required to be stated therein or necessary to make the statements therein not misleading, (ii) any untrue statement or alleged untrue statement of a material fact contained in any Prospectus or Prospectus Supplement (or any amendment or supplement to any of the foregoing) or the omission or alleged omission therefrom of a material fact necessary in order to make the statements therein, in the light of the circumstances under which they were made, not misleading, (iii) any untrue statement or alleged untrue statement of a material fact contained in any materials or information provided to investors by, or with the approval of, the Company in connection with the marketing of the offering of the Securities, including any roadshow or investor presentations made to investors by the Company (whether in person or electronically) or the omission or alleged omission therefrom of a material fact necessary in order to make the statements therein, in the light of the circumstances under which they were made, not misleading, or (iv) in whole or in part any inaccuracy in any material respect in the representations and warranties of the Company contained herein or in the Purchase Agreement; provided however, with regard to the Lead Managers, the Company shall not be obligated to indemnify the Lead Manager(s) or such other person or entities under this Section 1 to the extent that any losses, claims, damages, expenses or liabilities (or actions in respect thereof) are found in a final judgment (not subject to appeal) by a court of competent jurisdiction to have resulted primarily and directly from the willful misconduct or gross negligence of the Lead Manager(s) in performing the services described herein, as the case may be. The Company also agrees that no Lead Manager shall have any liability (whether direct or indirect, in contract or tort or otherwise) to the Company or its security holders or creditors related to or arising out of the engagement of the Lead Manager(s) pursuant to, or the performance by the Lead Manager(s) of the services contemplated by, this Agreement except to the extent that any loss, claim, damage or liability is found in a final, non-appealable judgment by a court of competent jurisdiction to have resulted primarily from the willful misconduct or gross negligence of the Lead Manager(s).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Promptly after receipt by the Lead Manager(s) of notice of any claim or the commencement of any action or proceeding with respect to which the Lead Manager(s) are entitled to indemnity hereunder, the Lead Manager(s) will notify the Company in writing of such claim or of the commencement of such action or proceeding, and the Company will assume the defense of such action or proceeding and will employ counsel reasonably satisfactory to the Lead Manager(s) and will pay the fees and expenses of such counsel. Notwithstanding the preceding sentence, the Lead Manager(s) will be entitled to employ counsel separate from counsel for the Company and from any other party in such action if counsel for the Lead Manager(s) reasonably determines that it would be inappropriate under the applicable rules of professional responsibility for the same counsel to represent both the Company and the Lead Manager(s). In such event, the reasonable fees and disbursements of no more than one such separate counsel will be paid by the Company. The Company will have the exclusive right to settle the claim or proceeding provided that the Company will not settle any such claim, action or proceeding without the prior written consent of the Lead Manager(s), which will not be unreasonably withheld.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agrees to notify the Lead Manager(s) promptly of the assertion against it or any other person of any claim or the commencement of any action or proceeding relating to a transaction contemplated by the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for any reason the foregoing indemnity is unavailable to the Lead Manager(s) or insufficient to hold such Lead Manager(s) harmless, then the Company shall contribute to the amount paid or payable by the Lead Manager(s), as the case may be, as a result of such losses, claims, damages or liabilities in such proportion as is appropriate to reflect not only the relative benefits received by the Company on the one hand, and the Lead Manager(s) on the other, but also the relative fault of the Company on the one hand and the Lead Manager(s) on the other that resulted in such losses, claims, damages or liabilities, as well as any relevant equitable considerations. The amounts paid or payable by a party in respect of losses, claims, damages and liabilities referred to above shall be deemed to include any legal or other fees and expenses incurred in defending any litigation, proceeding or other action or claim. Notwithstanding the provisions hereof, the share of the liability of the Lead Manager(s) hereunder shall not be in excess of the amount of fees actually received, or to be received, by the Lead Manager(s) under the Agreement (excluding any amounts received as reimbursement of expenses incurred by the Lead Manager(s) 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These Indemnification Provisions shall remain in full force and effect whether or not the transactions contemplated by the Agreement are completed and shall survive the termination of the Agreement, and shall be in addition to any liability that the Company might otherwise have to any indemnified party under the Agreement or otherwise.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has been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70" w:type="dxa"/>
        <w:jc w:val="left"/>
        <w:tblInd w:w="0" w:type="dxa"/>
        <w:tblLayout w:type="fixed"/>
        <w:tblCellMar>
          <w:top w:w="0" w:type="dxa"/>
          <w:left w:w="0" w:type="dxa"/>
          <w:bottom w:w="0" w:type="dxa"/>
          <w:right w:w="0" w:type="dxa"/>
        </w:tblCellMar>
      </w:tblPr>
      <w:tblGrid>
        <w:gridCol w:w="75"/>
        <w:gridCol w:w="320"/>
        <w:gridCol w:w="635"/>
        <w:gridCol w:w="31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9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9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9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UNIVEST SECURITIES,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9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7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Edric Yi Guo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Edric Yi Guo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and Head of Investment Banking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7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9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Address for notice</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9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9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Rockefeller Plaza #25A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9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9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Edric Guo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9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yguo@univest.us</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 of</w:t>
        <w:br/>
        <w:t>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009" w:type="dxa"/>
        <w:jc w:val="left"/>
        <w:tblInd w:w="0" w:type="dxa"/>
        <w:tblLayout w:type="fixed"/>
        <w:tblCellMar>
          <w:top w:w="0" w:type="dxa"/>
          <w:left w:w="0" w:type="dxa"/>
          <w:bottom w:w="0" w:type="dxa"/>
          <w:right w:w="0" w:type="dxa"/>
        </w:tblCellMar>
      </w:tblPr>
      <w:tblGrid>
        <w:gridCol w:w="460"/>
        <w:gridCol w:w="810"/>
        <w:gridCol w:w="2664"/>
        <w:gridCol w:w="75"/>
      </w:tblGrid>
      <w:tr>
        <w:trPr/>
        <w:tc>
          <w:tcPr>
            <w:tcW w:w="393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34" w:type="dxa"/>
            <w:gridSpan w:val="3"/>
            <w:tcBorders/>
            <w:vAlign w:val="center"/>
          </w:tcPr>
          <w:p>
            <w:pPr>
              <w:pStyle w:val="TableContents"/>
              <w:bidi w:val="0"/>
              <w:spacing w:before="0" w:after="283"/>
              <w:ind w:left="0" w:right="0" w:hanging="0"/>
              <w:jc w:val="left"/>
              <w:rPr>
                <w:sz w:val="4"/>
                <w:szCs w:val="4"/>
              </w:rPr>
            </w:pPr>
            <w:r>
              <w:rPr>
                <w:sz w:val="4"/>
                <w:szCs w:val="4"/>
              </w:rPr>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74"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Zhen Fan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0" w:type="dxa"/>
            <w:tcBorders/>
            <w:vAlign w:val="center"/>
          </w:tcPr>
          <w:p>
            <w:pPr>
              <w:pStyle w:val="TableContents"/>
              <w:bidi w:val="0"/>
              <w:spacing w:before="0" w:after="283"/>
              <w:jc w:val="left"/>
              <w:rPr>
                <w:caps w:val="false"/>
                <w:smallCaps w:val="false"/>
              </w:rPr>
            </w:pPr>
            <w:r>
              <w:rPr>
                <w:caps w:val="false"/>
                <w:smallCaps w:val="false"/>
              </w:rPr>
              <w:t> </w:t>
            </w:r>
          </w:p>
        </w:tc>
        <w:tc>
          <w:tcPr>
            <w:tcW w:w="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Zhen Fan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0" w:type="dxa"/>
            <w:tcBorders/>
            <w:vAlign w:val="center"/>
          </w:tcPr>
          <w:p>
            <w:pPr>
              <w:pStyle w:val="TableContents"/>
              <w:bidi w:val="0"/>
              <w:spacing w:before="0" w:after="283"/>
              <w:jc w:val="left"/>
              <w:rPr>
                <w:caps w:val="false"/>
                <w:smallCaps w:val="false"/>
              </w:rPr>
            </w:pPr>
            <w:r>
              <w:rPr>
                <w:caps w:val="false"/>
                <w:smallCaps w:val="false"/>
              </w:rPr>
              <w:t> </w:t>
            </w:r>
          </w:p>
        </w:tc>
        <w:tc>
          <w:tcPr>
            <w:tcW w:w="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34"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3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Address for notice</w:t>
            </w: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34"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3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Haoxi Health Technology Limited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34" w:type="dxa"/>
            <w:gridSpan w:val="3"/>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801, Tower C, Floor 8, Building 103,</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Huizhongli</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34"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Mr. Zhen Fan, CEO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fanzhen@haoximedia.com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10" w:name="ea029775001ex10-3.htm"/>
      <w:bookmarkStart w:id="11" w:name="ksea029775001ex103"/>
      <w:bookmarkEnd w:id="10"/>
      <w:bookmarkEnd w:id="11"/>
      <w:r>
        <w:rPr>
          <w:b/>
        </w:rPr>
        <w:t>Exhibit 10.3</w:t>
      </w:r>
      <w:r>
        <w:br w:type="page"/>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Securities Purchase Agreement, dated as of July 10, 2026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between Haoxi Health Technology Limited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the purchasers signatory thereto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terms not otherwise defined in this letter agreement (the “</w:t>
      </w:r>
      <w:r>
        <w:rPr>
          <w:rFonts w:ascii="Times New Roman;Times;Serif" w:hAnsi="Times New Roman;Times;Serif"/>
          <w:b w:val="false"/>
          <w:i w:val="false"/>
          <w:caps w:val="false"/>
          <w:smallCaps w:val="false"/>
          <w:sz w:val="20"/>
          <w:u w:val="single"/>
        </w:rPr>
        <w:t>Letter Agreement</w:t>
      </w:r>
      <w:r>
        <w:rPr>
          <w:rFonts w:ascii="Times New Roman;Times;Serif" w:hAnsi="Times New Roman;Times;Serif"/>
          <w:b w:val="false"/>
          <w:i w:val="false"/>
          <w:caps w:val="false"/>
          <w:smallCaps w:val="false"/>
          <w:sz w:val="20"/>
        </w:rPr>
        <w:t>”) shall have the meanings set forth in the Purchase Agreement. The undersigned irrevocably agrees with Univest Securities, LLC (“</w:t>
      </w:r>
      <w:r>
        <w:rPr>
          <w:rFonts w:ascii="Times New Roman;Times;Serif" w:hAnsi="Times New Roman;Times;Serif"/>
          <w:b w:val="false"/>
          <w:i w:val="false"/>
          <w:caps w:val="false"/>
          <w:smallCaps w:val="false"/>
          <w:sz w:val="20"/>
          <w:u w:val="single"/>
        </w:rPr>
        <w:t>Univest</w:t>
      </w:r>
      <w:r>
        <w:rPr>
          <w:rFonts w:ascii="Times New Roman;Times;Serif" w:hAnsi="Times New Roman;Times;Serif"/>
          <w:b w:val="false"/>
          <w:i w:val="false"/>
          <w:caps w:val="false"/>
          <w:smallCaps w:val="false"/>
          <w:sz w:val="20"/>
        </w:rPr>
        <w:t>”) that, from the date hereof until 90 days from the Closing Date (as defined in the Purchase Agreement (such period, the “</w:t>
      </w:r>
      <w:r>
        <w:rPr>
          <w:rFonts w:ascii="Times New Roman;Times;Serif" w:hAnsi="Times New Roman;Times;Serif"/>
          <w:b w:val="false"/>
          <w:i w:val="false"/>
          <w:caps w:val="false"/>
          <w:smallCaps w:val="false"/>
          <w:sz w:val="20"/>
          <w:u w:val="single"/>
        </w:rPr>
        <w:t>Restriction Period</w:t>
      </w:r>
      <w:r>
        <w:rPr>
          <w:rFonts w:ascii="Times New Roman;Times;Serif" w:hAnsi="Times New Roman;Times;Serif"/>
          <w:b w:val="false"/>
          <w:i w:val="false"/>
          <w:caps w:val="false"/>
          <w:smallCaps w:val="false"/>
          <w:sz w:val="20"/>
        </w:rPr>
        <w:t>”) the undersigned will not 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or establish or increase a put equivalent position or liquidate or decrease a call equivalent position within the meaning of Section 16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with respect to, any Ordinary Share of the Company or securities convertible, exchangeable or exercisable into, Ordinary Share of the Company beneficially owned, held or hereafter acquired by the undersigned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or make any demand for or exercise any right or cause to be filed a registration statement, including any amendments thereto, with respect to the registration of any Ordinary Share or Ordinary Share Equivalents or publicly disclose the intention to do any of the foregoing. Beneficial ownership shall be calculated in accordance with Section 13(d) of the Exchange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subject to the conditions below, the undersigned may transfer the Securities provided that (1) in the case of clauses (i), (ii), iii), (iv), (v), (vi) and (vii) below, Univest receives a signed lock-up letter agreement (in the form of this Letter Agreement) for the balance of the Restriction Period from each donee, trustee, distributee, or transferee, as the case may be, prior to such transfer, and (2) in the case of clauses (i), (ii), iii), (iv), (v), (vi) and (vii) below, any such transfer shall not involve a disposition for value, with respect to a transfer:</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50"/>
        <w:gridCol w:w="978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 </w:t>
            </w:r>
            <w:r>
              <w:rPr>
                <w:rFonts w:ascii="Times New Roman;Times;Serif" w:hAnsi="Times New Roman;Times;Serif"/>
                <w:i/>
                <w:sz w:val="20"/>
              </w:rPr>
              <w:t>bona fide</w:t>
            </w:r>
            <w:r>
              <w:rPr>
                <w:rFonts w:ascii="Times New Roman;Times;Serif" w:hAnsi="Times New Roman;Times;Serif"/>
                <w:sz w:val="20"/>
              </w:rPr>
              <w:t> gift or gifts, charitable contribution or for </w:t>
            </w:r>
            <w:r>
              <w:rPr>
                <w:rFonts w:ascii="Times New Roman;Times;Serif" w:hAnsi="Times New Roman;Times;Serif"/>
                <w:i/>
                <w:sz w:val="20"/>
              </w:rPr>
              <w:t>bona fide</w:t>
            </w:r>
            <w:r>
              <w:rPr>
                <w:rFonts w:ascii="Times New Roman;Times;Serif" w:hAnsi="Times New Roman;Times;Serif"/>
                <w:sz w:val="20"/>
              </w:rPr>
              <w:t> estate planning purposes;</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97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any immediate family member or to any trust for the direct or indirect benefit of the undersigned or the immediate family of the undersigned (for purposes of this Letter Agreement, “immediate family” shall mean any relationship by blood, marriage or adoption, not more remote than first cousin);</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97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any corporation, partnership, limited liability company, or other business entity all of the equity holders of which consist of the undersigned and/or the immediate family of the undersigned;</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97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undersigned is a corporation, partnership, limited liability company, trust or other business entity (a) to another corporation, partnership, limited liability company, trust or other business entity that is an Affiliate of the undersigned or (b) in the form of a distribution to limited partners, limited liability company members or stockholders of the undersigned;</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97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undersigned is a trust, to the beneficiary of such trust;</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97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will, other testamentary document or intestate succession to the legal representative, heir, beneficiary or a member of the immediate family of the undersigned;</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97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9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operation of law, such as pursuant to a qualified domestic order or in connection with a divorce decree;</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97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viii.</w:t>
            </w:r>
          </w:p>
        </w:tc>
        <w:tc>
          <w:tcPr>
            <w:tcW w:w="9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a </w:t>
            </w:r>
            <w:r>
              <w:rPr>
                <w:rFonts w:ascii="Times New Roman;Times;Serif" w:hAnsi="Times New Roman;Times;Serif"/>
                <w:i/>
                <w:sz w:val="20"/>
              </w:rPr>
              <w:t>bona fide</w:t>
            </w:r>
            <w:r>
              <w:rPr>
                <w:rFonts w:ascii="Times New Roman;Times;Serif" w:hAnsi="Times New Roman;Times;Serif"/>
                <w:sz w:val="20"/>
              </w:rPr>
              <w:t> third-party tender offer, merger, consolidation or other similar transaction that is approved by the Board of Directors of the Company and made to all holders of the Company’s capital stock the result of which is that any “person” (as defined in Section 13(d)(3) of the Exchange Act), or group of persons, becomes the beneficial owner (as defined in Rules 13d-3 and 13d-5 of the Exchange Act) of more than 50% of total voting power of the voting stock of the Company or the surviving entity;</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ix.</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 transaction exempt from Section 16(b) of the Exchange Act upon a vesting event of the Securities or upon the exercise of options or warrants to purchase Ordinary Shares, including on a “cashless” or “net exercise” basis or otherwise to cover tax withholding obligations of the undersigned in connection with such vesting or exercise, including a sale in the open market of any securities relating to such options or warrants to cover the applicable aggregate exercise price, withholding tax obligations or otherwise; provided that any filing under Section 16(a) of the Exchange Act in connection with such transfer shall indicate, to the extent permitted by such Section and the related rules and regulations, the reason for such disposition and that such transfer of Securities was solely to cover tax withholding obligations of the undersigned or pursuant to a “cashless” or “net exercise” by the undersigned in connection with such vesting or exercise, and provided, further that any Securities issued upon such exercise shall be subject to the restrictions set forth in this Letter Agreement;</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Company in connection with the termination of employment or other termination of a service provider whereby the Company has the option, pursuant to an agreement in force on the date hereof, to repurchase such shares or securities; or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acquired by the undersigned in open market transactions after the date of the Purchase Agreement, provided that no filing under Section 16(a) of the Exchange Act shall be required or shall be made voluntarily in connection with subsequent sales of Securities acquired in such open market transactions.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notwithstanding the foregoing, this Letter Agreement shall not restrict the delivery of Ordinary Shares to the undersigned upon (i) exercise of any options or settlement of other equity awards granted under any employee benefit plan of the Company; provided that any Ordinary Shares or Securities acquired in connection with any such exercise will be subject to the restrictions set forth in this Letter Agreement, or (ii) the exercise of warrants; provided that such Ordinary Shares delivered to the undersigned in connection with such exercise are subject to the restrictions set forth in this Letter Agreement, nor shall this Letter Agreement restrict the disposition of such options, equity awards, warrants or similar instruments effected in connection with such exercise or settlement.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undersigned may enter into any new plan established in compliance with Rule 10b5-1 of the Exchange Act; provided that (i) such plan may only be established if no public announcement or filing with the Securities and Exchange Commission, or other applicable regulatory authority, is made in connection with the establishment of such plan during the Restriction Period and (ii) no sale of Ordinary Share are made pursuant to such plan during the Restriction Period.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execution, delivery and performance of this Letter Agreement is a material inducement to Univest and the Company to complete the transactions contemplated by the Purchase Agreement and Univest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Purchase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not be amended or otherwise modified in any respect without the written consent of Univest and the undersigned. This Letter Agreement shall be construed and enforced in accordance with the laws of the State of New York without regard to the principles of conflict of laws. The undersigned hereby irrevocably submits to the exclusive jurisdiction of the United States District Court sitting in the Southern District of New York and the courts of the State of New York located in Manhattan, for the purposes of any suit, action or proceeding arising out of or relating to this Letter Agreement, and hereby waives, and agrees not to assert in any such suit, action or proceeding, any claim that (i) it is not personally subject to the jurisdiction of such court, (ii) the suit, action or proceeding is brought in an inconvenient forum, or (iii) the venue of the suit, action or proceeding is improper. The undersigned hereby irrevocably waives personal service of process and consents to process being served in any such suit, action or proceeding by receiving a copy thereof sent to the Company at the address in effect for notices to it under the Purchase Agreement and agrees that such service shall constitute good and sufficient service of process and notice thereof. The undersigned hereby waives any right to a trial by jury. Nothing contained herein shall be deemed to limit in any way any right to serve process in any manner permitted by law.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shall be binding on successors and assigns of the undersigned with respect to the Securities and any such successor or assign shall enter into a similar agreement for the benefit of Univest. This Letter Agreement is intended for the benefit of the parties hereto and their respective successors and permitted assigns and is not for the benefit of, nor may any provisions hereof be enforced by, any of other Person.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SIGNATURE PAGE FOLLOWS***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executed in two or more counterparts, all of which when taken together may be considered one and the same agreement.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390" w:type="dxa"/>
        <w:jc w:val="left"/>
        <w:tblInd w:w="0" w:type="dxa"/>
        <w:tblLayout w:type="fixed"/>
        <w:tblCellMar>
          <w:top w:w="0" w:type="dxa"/>
          <w:left w:w="0" w:type="dxa"/>
          <w:bottom w:w="28" w:type="dxa"/>
          <w:right w:w="0" w:type="dxa"/>
        </w:tblCellMar>
      </w:tblPr>
      <w:tblGrid>
        <w:gridCol w:w="2315"/>
        <w:gridCol w:w="75"/>
      </w:tblGrid>
      <w:tr>
        <w:trPr/>
        <w:tc>
          <w:tcPr>
            <w:tcW w:w="2315"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Position in Company, if any</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Univest agrees to enforce the restrictions on transfer set forth in this Letter Agreement.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104" w:type="dxa"/>
        <w:jc w:val="left"/>
        <w:tblInd w:w="0" w:type="dxa"/>
        <w:tblLayout w:type="fixed"/>
        <w:tblCellMar>
          <w:top w:w="0" w:type="dxa"/>
          <w:left w:w="0" w:type="dxa"/>
          <w:bottom w:w="0" w:type="dxa"/>
          <w:right w:w="0" w:type="dxa"/>
        </w:tblCellMar>
      </w:tblPr>
      <w:tblGrid>
        <w:gridCol w:w="1019"/>
        <w:gridCol w:w="1010"/>
        <w:gridCol w:w="75"/>
      </w:tblGrid>
      <w:tr>
        <w:trPr/>
        <w:tc>
          <w:tcPr>
            <w:tcW w:w="20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Univest Securities, LLC</w:t>
            </w:r>
          </w:p>
        </w:tc>
        <w:tc>
          <w:tcPr>
            <w:tcW w:w="75" w:type="dxa"/>
            <w:tcBorders/>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01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0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0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hd w:fill="FFFFFF" w:val="clear"/>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54594/000121390025053068/ea0245311-f3a1_haoxi.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43445</Words>
  <Characters>230142</Characters>
  <CharactersWithSpaces>273723</CharactersWithSpaces>
  <Paragraphs>1686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