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333-287686</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June 13,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9,000,000 Class A Ordinary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176,034,979 Class A Ordinary Shares Underlying the 16,999,998 Pre-Funded Warrants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offering 9,000,000 Class A ordinary shares, par value $0.0025 per share (“Class A Ordinary Shares”) at an offering price of $0.25 per share, and 16,999,998 pre-funded warrants (the “Pre-Funded Warrants”) to purchase up to 176,034,979 Class A Ordinary Shares (the “Warrant Shares”), pursuant to this prospectus supplement and the accompanying prospectus for gross proceeds of up to $6,455,799.51. The purchase price for each Pre-Funded Warrant is equal to the public offering price for the Class A Shares less the $0.0026 per share exercise price of each such Pre-Funded Warrant which is $0.2474. Each Pre-Funded Warrant will be exercisable upon issuance and will not expire prior to exercise.</w:t>
      </w:r>
    </w:p>
    <w:p>
      <w:pPr>
        <w:spacing w:after="0" w:line="18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engaged Univest Securities, LLC to act as our exclusive placement agent in connection with this offering (the “placement agent”). The placement agent has agreed to use its best efforts to arrange for the sale of the securities offered by this prospectus supplement.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as set forth herein, which assumes that we sell all of the securities offered by this prospectus supplement. There is no arrangement for funds to be received in escrow, trust or similar arrangement. See “Plan of Distribution” on page S-15 of this prospectus supplement for more information regarding these arrangements.</w:t>
      </w:r>
    </w:p>
    <w:p>
      <w:pPr>
        <w:spacing w:after="0" w:line="18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on the Nasdaq Capital Market under the symbol “HAO.” On May 11, 2026, the last reported sale price of the Class A Ordinary Shares on the Nasdaq Capital Market was $0.045 per share.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our outstanding voting and non-voting common equities held by non-affiliates was approximately $93.66 million based on 58,538,638 Class A Ordinary Shares held by non-affiliates and a price per share of $1.60, the closing price of our Class A Ordinary Shares on January 13, 2026. Therefore, as of the date of this prospectus supplement, we are not subject to the limitations as set forth in General Instruction I.B.5 of Form F-3.</w:t>
      </w:r>
    </w:p>
    <w:p>
      <w:pPr>
        <w:spacing w:after="0" w:line="17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Class A Ordinary Shares involves risk. See “Risk Factors” beginning on page S-7 of this prospectus supplement and in the documents incorporated by reference into this prospectus supplement and the accompanying prospectus for a discussion of information that should be considered in connection with an investment in the Class A Ordinary Shares.</w:t>
      </w:r>
    </w:p>
    <w:p>
      <w:pPr>
        <w:spacing w:after="0" w:line="17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or other foreign securities commission has approved or disapproved of these securities or determined if this prospectus supplement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jc w:val="both"/>
        <w:spacing w:after="0" w:line="252"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no material operations of our own and we are not a Chinese operating company. Our operations are conducted in China through our wholly owned indirect PRC subsidiary, Beijing Haoxi Digital Technology Co., Ltd. (“</w:t>
      </w:r>
      <w:r>
        <w:rPr>
          <w:rFonts w:ascii="Times New Roman" w:cs="Times New Roman" w:eastAsia="Times New Roman" w:hAnsi="Times New Roman"/>
          <w:sz w:val="18"/>
          <w:szCs w:val="18"/>
          <w:b w:val="1"/>
          <w:bCs w:val="1"/>
          <w:color w:val="auto"/>
        </w:rPr>
        <w:t>Haoxi Beijing</w:t>
      </w:r>
      <w:r>
        <w:rPr>
          <w:rFonts w:ascii="Times New Roman" w:cs="Times New Roman" w:eastAsia="Times New Roman" w:hAnsi="Times New Roman"/>
          <w:sz w:val="18"/>
          <w:szCs w:val="18"/>
          <w:color w:val="auto"/>
        </w:rPr>
        <w:t>”). The securities being offered hereunder are those of the offshore holding company in the Cayman Islands, instead of securities of the operating entity in China. Therefore, you will not directly hold any equity interests in the operating entity. We are subject to certain legal and operational risks associated with business operations of Haoxi Beijing in China and the Chinese regulatory authorities could disallow our corporate structure, which could cause the value of our securities to significantly decline or become worthless. For more details, see “Item 3. Key Information—D.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“—The CSRC has promulgated Overseas Listing Trial Measures on February 17, 2023. This offering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and “—Any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annual report on the Form 20-F for the year ended June 30, 2025 (“</w:t>
      </w:r>
      <w:r>
        <w:rPr>
          <w:rFonts w:ascii="Times New Roman" w:cs="Times New Roman" w:eastAsia="Times New Roman" w:hAnsi="Times New Roman"/>
          <w:sz w:val="18"/>
          <w:szCs w:val="18"/>
          <w:b w:val="1"/>
          <w:bCs w:val="1"/>
          <w:color w:val="auto"/>
        </w:rPr>
        <w:t>2025 Annual Report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October 20, 2025, incorporated herein by reference and “Risk Factors—The PRC government exerts substantial influence over the manner in which we conduct our business activities. The PRC government may also intervene or influence our operations and this offering at any time, which could result in a material change in our operations and our Class A Ordinary Shares could decline in value or become worthless” on page 6 of this prospectus.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Since the PRC Foreign Investment Law is relatively new, substantial uncertainties exist with respect to its interpretation and implementation. Under the PRC Foreign Investment Law, “foreign investment” refers to the investment activities directly or indirectly conducted by foreign individuals, enterprises or other entities in China. The PRC Foreign Investment Law sets out the basic regulatory framework for foreign investments and proposes to implement a management system of pre-establishment national treatment with a “negative list” for foreign investments, pursuant to which (i) a foreign invested enterprise, or FIE, under PRC law shall not invest in any sector forbidden by the negative list for access of foreign investment, (ii) for any sector restricted by the negative list, an FIE shall conform to the investment conditions provided in the negative list, and (iii) sectors not included in the negative list shall be managed under the principle that domestic investment and foreign investment shall be treated equally. The PRC Foreign Investment Law also sets forth necessary mechanisms to facilitate, protect and manage foreign investments and proposes to establish a foreign investment information report system in which FIE shall submit the investment information to competent departments of commerce through the enterprise registration system and the enterprise credit information publicity system. Haoxi Beijing is an online marketing solution provider in China with an advertiser client base mainly in the healthcare industry, which is not a prohibited or restricted industry in the negative list that is currently effective as of the date of this prospectus supplement. It is uncertain whether the online marketing industry, in which Haoxi Beijing operates, will be subject to the foreign investment restrictions or prohibitions set forth in any “negative list” to be issued in the future. There are uncertainties as to how the PRC Foreign Investment Law would be further interpreted and implemented. We cannot assure you that the interpretation and implementation of the PRC Foreign Investment Law made by the relevant governmental authorities in the future will not materially impact our corporate governance and business operations in any aspect. See “Item 3. Key Information—D.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52" w:lineRule="auto"/>
        <w:rPr>
          <w:sz w:val="20"/>
          <w:szCs w:val="20"/>
          <w:color w:val="auto"/>
        </w:rPr>
      </w:pPr>
      <w:r>
        <w:rPr>
          <w:rFonts w:ascii="Times New Roman" w:cs="Times New Roman" w:eastAsia="Times New Roman" w:hAnsi="Times New Roman"/>
          <w:sz w:val="18"/>
          <w:szCs w:val="18"/>
          <w:color w:val="auto"/>
        </w:rPr>
        <w:t>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On December 28, 2021, 13 governmental departments of the PRC, including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issued the Cybersecurity Review Measures, which became effective on February 15, 2022. As of the date of this prospectus supplement, neither we nor our subsidiaries have been involved in any investigations on cybersecurity review initiated by any PRC regulatory authority, nor has any of them received any inquiry, notice, or sanction related to cybersecurity review under the Cybersecurity Review Measures. The CAC published the draft Regulations on the Network Data Security Administration (Draft for Comments) (the “</w:t>
      </w:r>
      <w:r>
        <w:rPr>
          <w:rFonts w:ascii="Times New Roman" w:cs="Times New Roman" w:eastAsia="Times New Roman" w:hAnsi="Times New Roman"/>
          <w:sz w:val="18"/>
          <w:szCs w:val="18"/>
          <w:b w:val="1"/>
          <w:bCs w:val="1"/>
          <w:color w:val="auto"/>
        </w:rPr>
        <w:t>Security Administration</w:t>
      </w:r>
      <w:r>
        <w:rPr>
          <w:rFonts w:ascii="Times New Roman" w:cs="Times New Roman" w:eastAsia="Times New Roman" w:hAnsi="Times New Roman"/>
          <w:sz w:val="18"/>
          <w:szCs w:val="18"/>
          <w:color w:val="auto"/>
        </w:rPr>
        <w:t>”), was published by the State Council on September 24, 2024 and became effective on January 1, 2025. The Security Administration provides that data processing operators engaging in data processing activities that affect or may affect national security must be subject to network data security review by the relevant Cyberspace Administration of the PRC. According to the Security Administration, data processing operators who possess personal data of at least one million users or collect data that affects or may affect national security must be subject to network data security review by the relevant Cyberspace Administration of the PRC. As confirmed by our PRC counsel, Sino Pro Law Firm, we are not subject to cybersecurity review by the CAC under the Cybersecurity Review Measures, nor are we subject to network data security review if the Security Administration are enacted as proposed, since Haoxi Beijing’s business does not involve processing users’ personal information and it is not deemed as a critical information infrastructure operator (“</w:t>
      </w:r>
      <w:r>
        <w:rPr>
          <w:rFonts w:ascii="Times New Roman" w:cs="Times New Roman" w:eastAsia="Times New Roman" w:hAnsi="Times New Roman"/>
          <w:sz w:val="18"/>
          <w:szCs w:val="18"/>
          <w:b w:val="1"/>
          <w:bCs w:val="1"/>
          <w:color w:val="auto"/>
        </w:rPr>
        <w:t>CIIO</w:t>
      </w:r>
      <w:r>
        <w:rPr>
          <w:rFonts w:ascii="Times New Roman" w:cs="Times New Roman" w:eastAsia="Times New Roman" w:hAnsi="Times New Roman"/>
          <w:sz w:val="18"/>
          <w:szCs w:val="18"/>
          <w:color w:val="auto"/>
        </w:rPr>
        <w:t>”), nor is it an online platform operator with personal information of more than one million users. See “Item 3. Key Information—D.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2025 Annual Report.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released the Trial Administrative Measures of the Overseas Securities Offering and Listing by Domestic Companies and five ancillary interpretive guidelines, or collectively,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On the same day, the CSRC also held a press conference for the release of the Overseas Listing Trial Measures and issued the Notice on Administration for the Filing of Overseas Offering and Listing by Domestic Companies, which clarifies that on or prior to the effective date of the Overseas Listing Trial Measures, domestic companies that have already submitted valid applications for overseas offering and listing but have not obtained clearance from overseas regulatory authorities or stock exchanges may reasonably arrange the timing for submitting their filing applications with the CSRC, and must complete the filing before the completion of their overseas offering and listing. The required filing scope is not limited to the initial public offering, but also includes any subsequent overseas securities offering, single or multiple acquisition(s), share swap, transfer of shares or other means to seek an overseas direct or indirect listing and a secondary listing or dual major listing of issuers already listed overseas. As advised by our PRC counsel, Sino Pro Law Firm, since the operating entity accounted for more than 50% of our consolidated revenues, profit, total assets or net assets for the fiscal years ended June 30, 2025, and the key components of our operations are carried out in China, this offering is considered an indirect offering by China-based companies, and we are, therefore, subject to the Overseas Listing Trial Measures for filing procedures with the CSRC in connection with this offering and are required to file with the CSRC within three working days after the completion of this offering. We will submit our filing application to the CSRC within three working days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on February 24, 2023, the CSRC and other relevant government authorities promulgated the Provisions on Strengthening the Confidentiality and Archives Administration of Overseas Securities Issuance and Listing by Domestic Enterprises which were issued in 2009, or the Provision on Confidentiality. The Provision on Confidentiality became effective on March 31, 2023. Pursuant to the Provision on Confidentiality, where a domestic enterprise provides or publicly discloses documents and materials involving state secrets and working secrets of state organs to the relevant securities companies, securities service institutions, overseas regulatory authorities and other entities and individuals, or provides or publicly discloses such information through its overseas listing subjects, it shall report to the competent department with the examination and approval authority for approval in accordance with the law, and submit to the secrecy administration department of the same level for filing. Domestic enterprises providing accounting archives or copies thereof to entities and individuals concerned such as securities companies, securities service institutions and overseas regulatory authorities shall complete the corresponding procedures pursuant to the relevant provisions of the State. We believe this offering will not involve the leaking of any state secret or working secret of government agencies, or the harming of national security and public interests. However, we may be required to perform additional procedures in connection with the provision of accounting archives.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Haoxi Beijing’s daily business operation, the ability to accept foreign investments and listing on U.S. exchanges. We cannot assure you that we will be able to fully comply with such rules, to conduct this offering, or to maintain the listing status of our securities, or to conduct any overseas securities offerings in the future. For details of the associated risks, see “Risk Factors—Risks Related to Doing Business in China—The CSRC has promulgated Overseas Listing Trial Measures on February 17, 2023. This offering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Except for the filing procedures with the CSRC and reporting of relevant information according to the Overseas Listing Trial Measures, as of the date of this prospectus supplement, we are not required to obtain any other permission from any other PRC governmental authorities to offer securities to foreign investors. As of the date of this prospectus supplement, neither we nor our subsidiaries have received any inquiry, notice, warning, or sanction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our subsidiaries, our ability to accept foreign investments, and our listing on a U.S. exchange in the future. We cannot guarantee that new rules or regulations promulgated in the future will not impose any additional requirement on us, or the operating entity, or otherwise tightening the regulations on overseas listing of PRC domestic companies. If it is determined that this offering is subject to any other governmental authorization or requirements, we cannot assure you we or the operating entity could obtain such approval or meet such requirements in a timely manner or at all. Such failure may subject us or the operating entity to fines, penalties or other sanctions which may have a material adverse effect on our business and financial conditions as well as its ability to complete this offering. Although we endeavor to comply with all the applicable laws and regulations, if (i) the operating entity does not receive or maintain applicable permissions or approvals for our operation, and to offer the securities being registered to investors, or (ii) we inadvertently conclude that such permissions or approvals are not required, or applicable laws, regulations, or interpretations change and the operating entity is required to obtain permissions or approvals in the future, the operating entity’s business operation may be materially affected. There can be no assurance that we or the operating entity can obtain all requisite approvals without material disruption to the operating entity’s business. Therefore, any failure to obtain all requisite approvals may significantly limit or completely hinder our ability to offer or continue to offer securities to investors and could cause the value of such securities to significantly decline or be worthless. See “Risk Factors— Risks Related to Doing Business in China—The CSRC has promulgated Overseas Listing Trial Measures on February 17, 2023. This offering will be determined to be an indirect overseas offering and is, therefore, subject to CSRC the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 and “Item 3. Key Information—D. Risk Factors—Risks Related to Doing Business in China— 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under the Holding Foreign Companies Accountable Act, or the HFCA Act, as amended by the Accelerating Holding Foreign Companies Accountable Act, if the Public Company Accounting Oversight Board (United States)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Wei, Wei &amp; Co., LLP, is not headquartered in mainland China or Hong Kong and was not identified in this report as a firm subject to the PCAOB’s determination. Our auditor, Wei, Wei &amp; Co.,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auditor’s registration with the PCAOB took effect in March 2006, and it is currently subject to PCAOB inspections, having its last inspection completed as of December 31, 2022. The PCAOB currently has access to inspect the working papers of our auditor.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August 26, 2022, the CSRC, the Ministry of Finance of the PRC (the “</w:t>
      </w:r>
      <w:r>
        <w:rPr>
          <w:rFonts w:ascii="Times New Roman" w:cs="Times New Roman" w:eastAsia="Times New Roman" w:hAnsi="Times New Roman"/>
          <w:sz w:val="18"/>
          <w:szCs w:val="18"/>
          <w:b w:val="1"/>
          <w:bCs w:val="1"/>
          <w:color w:val="auto"/>
        </w:rPr>
        <w:t>MOF</w:t>
      </w:r>
      <w:r>
        <w:rPr>
          <w:rFonts w:ascii="Times New Roman" w:cs="Times New Roman" w:eastAsia="Times New Roman" w:hAnsi="Times New Roman"/>
          <w:sz w:val="18"/>
          <w:szCs w:val="18"/>
          <w:color w:val="auto"/>
        </w:rPr>
        <w:t>”), and the PCAOB signed a Statement of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On December 29, 2022, President Biden signed into law the Accelerating Holding Foreign Companies Accountable Act as a part of the legislation entitled “Consolidated Appropriations Act, 2023” (the “</w:t>
      </w:r>
      <w:r>
        <w:rPr>
          <w:rFonts w:ascii="Times New Roman" w:cs="Times New Roman" w:eastAsia="Times New Roman" w:hAnsi="Times New Roman"/>
          <w:sz w:val="18"/>
          <w:szCs w:val="18"/>
          <w:b w:val="1"/>
          <w:bCs w:val="1"/>
          <w:color w:val="auto"/>
        </w:rPr>
        <w:t>Consolidated Appropriations Act</w:t>
      </w:r>
      <w:r>
        <w:rPr>
          <w:rFonts w:ascii="Times New Roman" w:cs="Times New Roman" w:eastAsia="Times New Roman" w:hAnsi="Times New Roman"/>
          <w:sz w:val="18"/>
          <w:szCs w:val="18"/>
          <w:color w:val="auto"/>
        </w:rPr>
        <w: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See “Item 3. Key Information—D. Risk Factors—Risks Related to Doing Business in China—Recent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in our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1" w:lineRule="auto"/>
        <w:rPr>
          <w:sz w:val="20"/>
          <w:szCs w:val="20"/>
          <w:color w:val="auto"/>
        </w:rPr>
      </w:pPr>
      <w:r>
        <w:rPr>
          <w:rFonts w:ascii="Times New Roman" w:cs="Times New Roman" w:eastAsia="Times New Roman" w:hAnsi="Times New Roman"/>
          <w:sz w:val="18"/>
          <w:szCs w:val="18"/>
          <w:color w:val="auto"/>
        </w:rPr>
        <w:t>As of the date of this prospectus supplement,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“Prospectus Summary—Dividend Distributions, Cash Transfer, and Tax Consequences,” our audited consolidated financial statements for the fiscal years ended June 30, 2022, 2023, 2024 and 2025 included in the 2025 Annual Report. 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2025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offerings to make loans or additional capital contributions to Haoxi Beijing, which could materially and adversely affect our liquidity and our ability to fund and expand our business” in our 2025 Annual Report. 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Information Limited (“</w:t>
      </w:r>
      <w:r>
        <w:rPr>
          <w:rFonts w:ascii="Times New Roman" w:cs="Times New Roman" w:eastAsia="Times New Roman" w:hAnsi="Times New Roman"/>
          <w:sz w:val="18"/>
          <w:szCs w:val="18"/>
          <w:b w:val="1"/>
          <w:bCs w:val="1"/>
          <w:color w:val="auto"/>
        </w:rPr>
        <w:t>Haoxi HK</w:t>
      </w:r>
      <w:r>
        <w:rPr>
          <w:rFonts w:ascii="Times New Roman" w:cs="Times New Roman" w:eastAsia="Times New Roman" w:hAnsi="Times New Roman"/>
          <w:sz w:val="18"/>
          <w:szCs w:val="18"/>
          <w:color w:val="auto"/>
        </w:rPr>
        <w:t>”), and then Haoxi HK transferred $300,000 to Beijing Haoxi Health Technology Co., Limited (the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In May 2024, the Company transferred $950,000 to Haoxi HK. In October 2024, the Company transferred $2,000,000 to Haoxi HK. In January 2025, the Company transferred $200,000 to Haoxi HK, then Haoxi HK transferred $200,000 to WFOE. In April 2025, the Company transferred $200,000 to Haoxi HK. In June 2025, the Company transferred $1,000,000 to Haoxi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will be subject to reduced public company reporting requirements. For more detailed discussion, see “Prospectus Summary—Implications of Our Being an “Emerging Growth Company” and “Item 3. Key Information—D. Risk Factors—Risks Relating to the Class A Ordinary Shares and the Trading Market—We are an “emerging growth company” within the meaning of the Securities Act, and if we take advantage of certain exemptions from disclosure requirements available to emerging growth companies, this will make it more difficult to compare our performance with other public companies” and “Because we are an “emerging growth company,” we may not be subject to requirements that other public companies are subject to, which could affect investor confidence in us and our Class A Ordinary Shares” in our 2025 Annual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0.2474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6,455,799.51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0.0175</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0.0173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451,905.97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0.2325</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0.2301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6,003,893.54</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placement agent a fee equal to the sum of 7.0% of the aggregate purchase price paid by the investors placed by the placement agent. We have also agreed to pay to the placement agent a non-accountable expense reimbursement equal to 0.5% of the gross proceeds from this offering, and to the placement agent up to $80,000 for the reasonable and accounted fees and expenses. For additional information about the compensation paid to the placement agent, see “Plan of Distribution” beginning on page S-15 of this prospectus supplement.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expect that delivery of the securities being offered pursuant to this prospectus supplement and the accompanying prospectus will be made on or about May 12, 2026, subject to customary closing conditions.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45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25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2020" w:type="dxa"/>
            <w:vAlign w:val="bottom"/>
            <w:tcBorders>
              <w:bottom w:val="single" w:sz="8" w:color="CCEEFF"/>
            </w:tcBorders>
            <w:gridSpan w:val="6"/>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600" w:type="dxa"/>
            <w:vAlign w:val="bottom"/>
            <w:tcBorders>
              <w:bottom w:val="single" w:sz="8" w:color="CCEEFF"/>
            </w:tcBorders>
            <w:gridSpan w:val="20"/>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5"/>
        </w:trPr>
        <w:tc>
          <w:tcPr>
            <w:tcW w:w="4520" w:type="dxa"/>
            <w:vAlign w:val="bottom"/>
            <w:tcBorders>
              <w:bottom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40" w:type="dxa"/>
            <w:vAlign w:val="bottom"/>
            <w:tcBorders>
              <w:bottom w:val="single" w:sz="8" w:color="CCEEFF"/>
            </w:tcBorders>
            <w:gridSpan w:val="18"/>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6"/>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45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56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S-15</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Legal Matters</w:t>
            </w:r>
          </w:p>
        </w:tc>
        <w:tc>
          <w:tcPr>
            <w:tcW w:w="3500" w:type="dxa"/>
            <w:vAlign w:val="bottom"/>
            <w:tcBorders>
              <w:bottom w:val="single" w:sz="8" w:color="CCEEFF"/>
            </w:tcBorders>
            <w:gridSpan w:val="19"/>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1640" w:type="dxa"/>
            <w:vAlign w:val="bottom"/>
            <w:tcBorders>
              <w:bottom w:val="single" w:sz="8" w:color="CCEEFF"/>
            </w:tcBorders>
            <w:gridSpan w:val="4"/>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453"/>
        </w:trPr>
        <w:tc>
          <w:tcPr>
            <w:tcW w:w="366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9"/>
        </w:trPr>
        <w:tc>
          <w:tcPr>
            <w:tcW w:w="5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4520" w:type="dxa"/>
            <w:vAlign w:val="bottom"/>
            <w:gridSpan w:val="23"/>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5600" w:type="dxa"/>
            <w:vAlign w:val="bottom"/>
            <w:shd w:val="clear" w:color="auto" w:fill="CCEEFF"/>
          </w:tcPr>
          <w:p>
            <w:pPr>
              <w:spacing w:after="0"/>
              <w:rPr>
                <w:sz w:val="14"/>
                <w:szCs w:val="14"/>
                <w:color w:val="auto"/>
              </w:rPr>
            </w:pPr>
          </w:p>
        </w:tc>
        <w:tc>
          <w:tcPr>
            <w:tcW w:w="11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56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56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33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 Regarding Forward-Looking Statements</w:t>
            </w:r>
          </w:p>
        </w:tc>
        <w:tc>
          <w:tcPr>
            <w:tcW w:w="1200" w:type="dxa"/>
            <w:vAlign w:val="bottom"/>
            <w:tcBorders>
              <w:bottom w:val="single" w:sz="8" w:color="CCEEFF"/>
            </w:tcBorders>
            <w:gridSpan w:val="2"/>
            <w:shd w:val="clear" w:color="auto" w:fill="CCEEFF"/>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720" w:type="dxa"/>
            <w:vAlign w:val="bottom"/>
            <w:gridSpan w:val="2"/>
          </w:tcPr>
          <w:p>
            <w:pPr>
              <w:jc w:val="center"/>
              <w:ind w:left="551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3600" w:type="dxa"/>
            <w:vAlign w:val="bottom"/>
            <w:tcBorders>
              <w:bottom w:val="single" w:sz="8" w:color="CCEEFF"/>
            </w:tcBorders>
            <w:gridSpan w:val="20"/>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51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720" w:type="dxa"/>
            <w:vAlign w:val="bottom"/>
            <w:gridSpan w:val="2"/>
          </w:tcPr>
          <w:p>
            <w:pPr>
              <w:jc w:val="center"/>
              <w:ind w:left="551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45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720" w:type="dxa"/>
            <w:vAlign w:val="bottom"/>
            <w:gridSpan w:val="2"/>
            <w:shd w:val="clear" w:color="auto" w:fill="CCEEFF"/>
          </w:tcPr>
          <w:p>
            <w:pPr>
              <w:jc w:val="center"/>
              <w:ind w:left="551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2320" w:type="dxa"/>
            <w:vAlign w:val="bottom"/>
            <w:tcBorders>
              <w:bottom w:val="single" w:sz="8" w:color="CCEEFF"/>
            </w:tcBorders>
            <w:gridSpan w:val="10"/>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6"/>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Units</w:t>
            </w:r>
          </w:p>
        </w:tc>
        <w:tc>
          <w:tcPr>
            <w:tcW w:w="3040" w:type="dxa"/>
            <w:vAlign w:val="bottom"/>
            <w:tcBorders>
              <w:bottom w:val="single" w:sz="8" w:color="CCEEFF"/>
            </w:tcBorders>
            <w:gridSpan w:val="16"/>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3080" w:type="dxa"/>
            <w:vAlign w:val="bottom"/>
            <w:tcBorders>
              <w:bottom w:val="single" w:sz="8" w:color="CCEEFF"/>
            </w:tcBorders>
            <w:gridSpan w:val="17"/>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960" w:type="dxa"/>
            <w:vAlign w:val="bottom"/>
            <w:tcBorders>
              <w:bottom w:val="single" w:sz="8" w:color="CCEEFF"/>
            </w:tcBorders>
            <w:gridSpan w:val="22"/>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84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1680" w:type="dxa"/>
            <w:vAlign w:val="bottom"/>
            <w:tcBorders>
              <w:bottom w:val="single" w:sz="8" w:color="CCEEFF"/>
            </w:tcBorders>
            <w:gridSpan w:val="5"/>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6"/>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4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Enforceability of Civil Liabilities</w:t>
            </w:r>
          </w:p>
        </w:tc>
        <w:tc>
          <w:tcPr>
            <w:tcW w:w="2100" w:type="dxa"/>
            <w:vAlign w:val="bottom"/>
            <w:tcBorders>
              <w:bottom w:val="single" w:sz="8" w:color="CCEEFF"/>
            </w:tcBorders>
            <w:gridSpan w:val="8"/>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5"/>
        </w:trPr>
        <w:tc>
          <w:tcPr>
            <w:tcW w:w="45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6720" w:type="dxa"/>
            <w:vAlign w:val="bottom"/>
            <w:gridSpan w:val="2"/>
          </w:tcPr>
          <w:p>
            <w:pPr>
              <w:jc w:val="center"/>
              <w:ind w:left="549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and accompanying prospectus relates to part of a registration statement on Form F-3, as amended (File No. 333-287686), that we have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utilizing a “shelf” registration process. Under this shelf registration process, we may sell the securities described in our base prospectus included in the shelf registration statement in one or more offerings up to a total aggregate offering price of $80,000,000. As of May 10, 2026, we have not sold any of our securities under that shelf registration statement. We sometimes refer to the Class A Ordinary Shares as the “securities” throughout this prospectus supplement.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terms of this offering of the Class A Ordinary Shares and Pre-Funded Warrants, and also adds, updates and changes information contained in the accompanying prospectus and the documents incorporated herein and therein by reference. This prospectus supplement relates only to an offering of 9,000,000 Class A Ordinary Shares and 16,999,998 Pre-Funded Warrants to purchase up to 176,034,979 Class A Ordinary Shares. The second part is the accompanying prospectus, which gives more general information about us, some of which may not apply to this offering. You should read both this prospectus supplement and the accompanying prospectus, including the information incorporated by reference herein and therein. To the extent the information contained in this prospectus supplement differs or varies from the information contained in the accompanying prospectus or any document filed prior to the date of this prospectus supplement and incorporated herein or therein by reference, the information in this prospectus supplement will control; provided, that if any statement in one of these documents is inconsistent with a statement in another document having a later date, the statement in the document having the later date modifies or supersedes the earlier statement. In addition, this prospectus supplement and the accompanying prospectus do not contain all of the information provided in the registration statement that we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that contains the accompanying prospectus (including the exhibits to the registration statement). For further information about us, you should refer to that registration statement, which you can obtain from the SEC as described elsewhere in this prospectus supplement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 address or telephone number: Haoxi Health Technology Ltd., Room 801, Tower C, Floor 8, Building 103, Huizhongli Chaoyang District, Beijing, China, Tel: +86-10-13311587976.</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and the accompanying prospectus. We have not authorized anyone to provide you with information that is different. No dealer, salesperson or other person is authorized to give any information or to represent anything not contained in or incorporated by reference into this prospectus supplement and the accompanying prospectus, and you must not rely upon any information or representation not contained in or incorporated by reference into this prospectus supplement or the accompanying prospectus. This prospectus supplement and the accompanying prospectus do not constitute an offer to sell or solicitation of an offer to buy these securities in any circumstances under which the offer or solicitation is unlawful. We are offering to sell, and seeking offers to buy, our securities offered hereby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and the accompanying prospectus or of any of our securities. Our business, financial condition, results of operations and prospects may have changed since those dates.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prospectus supplement, “we,” “us,” “our,” the “Company”, “HAO”, and “Haoxi Cayman” refer to Haoxi Health Technology Ltd.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reporting currency is the U.S. dollar and references to “dollars” or “$” are to U.S.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6656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6656070"/>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 starting on page S-7 of this prospectus supplement and in the documents incorporated by reference into this prospectus supplement and the accompanying prospectus, as well as the financial statements and notes thereto and the other information incorporated by reference herein and therein, before making an investment decision.</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an offshore holding company incorporated in the Cayman Islands as an exempted company limited by shares. Exempted companies are Cayman Island companies conducting business mainly outside the Cayman Islands and, as such, are exempted from complying with certain provisions of the Companies Act (as Revised) of the Cayman Islands (the “</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As a holding company with no material operations of our own, our operations are conducted in China through our wholly owned indirect PRC subsidiary, Haoxi Beijing. This is an offering of securities of the offshore holding company in the Cayman Islands, instead of securities of the operating entity in China. Therefore, you will not directly hold any equity interests in the operating entity.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supplement. For more details on our corporate history, please refer to “Corporate History and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7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Currently, we directly hold 100% equity interests in our subsidiaries, and we do not currently use a variable interest entity (“VIE”) structure.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business operations of Haoxi Beijing in China, which could cause the value of our securities to significantly decline or become worthless.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Beijing Haoxi, the operating entity, is an online marketing solution provider in China, with an advertiser client base mainly in the healthcare industry. The growth of the operating entity in recent years has benefited from the quick increase of news feed ads, its major form of ad placement, in the industry of online marketing in China. In addition, the healthcare industry in China has developed rapidly because of the growth both in the average income and the aging population, which provide a conducive environment for the development of the operating entity’s business. The operating entity has a management team with several years of experience in marketing for healthcare companies. Its own data analysis software “Bidding Compass” has helped it obtain a large volume of ad placement data. Moreover, it has developed a stable placement history with mainstream online advertising platforms in China and has been working closely with them since its establishment in 2018.</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operating entity mainly generates its revenue by providing one-stop online marketing solutions, in particular, it provides online short video ads for advertiser customers through its media partners. Media partners include both media platforms (such as Toutiao and Douyin), as well as authorized third-party agents of media platforms, through which the operating entity places ads for its advertiser customers when it has no direct contact with the platform. The operating entity procures ad slots from the media partners (which it regards as its suppliers) to place ads for its advertiser customers. The operating entity provides customized marketing solutions by planning, producing, placing, and optimizing online ads, especially online short video ads, to help its advertisers acquire, convert, and retain ultimate consumers on various online media platforms. The operating entity has served approximately 2,000 advertisers since its incorporation in 2018, the majority of which are healthcare companies. During the six months ended December 31, 2024, it served 389 advertisers, of which 345 were healthcare companies. During the fiscal years ended June 30, 2025, 2024, and 2023, it served 473, 543, and 393 advertisers, respectively, of which 414, 471, and 341 were healthcare companies, respectively. The operating entity primarily places its ads through mainstream online short video platforms and social media platforms in China, such as Toutiao, Douyin, WeChat, and Weibo. The operating entity is dedicated to reducing costs and increasing efficiency for its advertisers and offering them easy online marketing solutions. </w:t>
      </w:r>
      <w:r>
        <w:rPr>
          <w:rFonts w:ascii="Times New Roman" w:cs="Times New Roman" w:eastAsia="Times New Roman" w:hAnsi="Times New Roman"/>
          <w:sz w:val="18"/>
          <w:szCs w:val="18"/>
          <w:color w:val="auto"/>
          <w:highlight w:val="white"/>
        </w:rPr>
        <w:t>Driven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the growing demand for personalized and high-quality services in the healthcare and medical aesthetics sectors, and in response to evolving macro-consumption trends, Haoxi Beijing has officially launched its livestreaming agency services in April 2025. As of the date of this prospectus supplement, </w:t>
      </w:r>
      <w:r>
        <w:rPr>
          <w:rFonts w:ascii="Times New Roman" w:cs="Times New Roman" w:eastAsia="Times New Roman" w:hAnsi="Times New Roman"/>
          <w:sz w:val="18"/>
          <w:szCs w:val="18"/>
          <w:color w:val="auto"/>
        </w:rPr>
        <w:t xml:space="preserve">Haoxi Beijing is still in the process of researching and developing the service offerings, and has yet to generate any sizeable revenue from this </w:t>
      </w:r>
      <w:r>
        <w:rPr>
          <w:rFonts w:ascii="Times New Roman" w:cs="Times New Roman" w:eastAsia="Times New Roman" w:hAnsi="Times New Roman"/>
          <w:sz w:val="18"/>
          <w:szCs w:val="18"/>
          <w:color w:val="auto"/>
          <w:highlight w:val="white"/>
        </w:rPr>
        <w:t>livestreaming agency service.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fiscal year ended June 30, 2025, we had revenue of $32.80 million, and net income of $3,876,680. For the fiscal years ended June 30, 2024, 2023 and 2022, we had revenue of $48.52million, $28.23 million and $16.16 million, respectively, and net income of $1,291,667, $969,752 and $244,587, respectively.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39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Dividend Distributions, Cash Transfer, and Tax Consequences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supplement,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(“CFS”) as of and for the fiscal years ended June 30, 2025 and 2024 included in “Item 18. Financial Statements” in our 2025 Annual Report furnished by the Company on October 20, 2025.</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2025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 to make loans or additional capital contributions to Haoxi Beijing, which could materially and adversely affect our liquidity and our ability to fund and expand our business.” in our 2025 Annual Report.</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initiates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HK, and then Haoxi HK transferred $300,000 to WFOE. In May 2024, the Company transferred $950,000 to Haoxi HK. In October 2024, the Company transferred $2,000,000 to Haoxi HK. In January 2025, the Company transferred $200,000 to Haoxi HK, then Haoxi HK transferred $200,000 to WFOE. In April 2025, the Company transferred $200,000 to Haoxi HK. In June 2025, the Company transferred $1,000,000 to Haoxi HK.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an “Emerging Growth Company”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spacing w:after="0" w:line="176" w:lineRule="exact"/>
        <w:rPr>
          <w:sz w:val="20"/>
          <w:szCs w:val="20"/>
          <w:color w:val="auto"/>
        </w:rPr>
      </w:pPr>
    </w:p>
    <w:p>
      <w:pPr>
        <w:ind w:left="960" w:right="2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present only two years of audited financial statements and only two years of related Management’s Discussion and Analysis of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2" w:name="page13"/>
    <w:bookmarkEnd w:id="12"/>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2818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4281805"/>
                    </a:xfrm>
                    <a:prstGeom prst="rect">
                      <a:avLst/>
                    </a:prstGeom>
                    <a:noFill/>
                  </pic:spPr>
                </pic:pic>
              </a:graphicData>
            </a:graphic>
          </wp:anchor>
        </w:drawing>
        <w:t>are not required to provide a detailed narrative disclosure discussing our compensation principles, objectives and elements and analyzing how those elements fit with our principles and objectives, which is commonly referred to as “compensation discussion and analysis”;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an attestation and report from our auditors on our management’s assessment of our internal control over financial reporting pursuant to the Sarbanes-Oxley Act of 2002;</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 non-binding advisory vote from our shareholders on executive compensation or golden parachute arrangements (commonly referred to as the “say-on-pay,” “say-on frequency,” and “say-on-golden-parachute” votes);</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exempt from certain executive compensation disclosure provisions requiring a pay-for-performance graph and chief executive officer pay ratio disclosure;</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eligible to claim longer phase-in periods for the adoption of new or revised financial accounting standards under §107 of the JOBS Act;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required to conduct an evaluation of our internal control over financial reporting until our second annual report on Form 20-F following the effectiveness of our initial public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take advantage of all of these reduced reporting requirements and exemptions, including the longer phase-in periods for the adoption of new or revised financial accounting standards under §107 of the JOBS Act. Our election to use the phase-in periods may make it difficult to compare our financial statements to those of non-emerging growth companies and other emerging growth companies that have opted out of the phase-in periods under §107 of the JOBS Act.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Class A Ordinary Shares held by non-affiliates, or issue more than $1 billion in principal amount of non-convertible debt over a three-year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4556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4556125"/>
                    </a:xfrm>
                    <a:prstGeom prst="rect">
                      <a:avLst/>
                    </a:prstGeom>
                    <a:noFill/>
                  </pic:spPr>
                </pic:pic>
              </a:graphicData>
            </a:graphic>
          </wp:anchor>
        </w:drawing>
        <w:t>Corporate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Room 801, Tower C, Floor 8, Building 103, Huizhongli Chaoyang District, Beijing, China. Our telephone number at that address is +86-10-1311587976. Our company website is http://www.haoximedia.com/. The information contained on our website or available through our website is not incorporated by reference into and should not be considered a part of this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a non-U.S. company with foreign private issuer status, and we will be exempt from certain provisions of the Exchange Act that are applicable to U.S. domestic public companies, including:</w:t>
      </w:r>
    </w:p>
    <w:p>
      <w:pPr>
        <w:spacing w:after="0" w:line="162" w:lineRule="exact"/>
        <w:rPr>
          <w:sz w:val="20"/>
          <w:szCs w:val="20"/>
          <w:color w:val="auto"/>
        </w:rPr>
      </w:pPr>
    </w:p>
    <w:p>
      <w:pPr>
        <w:ind w:left="960" w:hanging="320"/>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domestic filers to issue financial statements prepared under U.S. GAAP;</w:t>
      </w:r>
    </w:p>
    <w:p>
      <w:pPr>
        <w:spacing w:after="0" w:line="22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statements and other specified information, and current reports on Form 8-K upon the occurrence of specified significant events.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these exemptions, 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foreign private issuers are also exempt from certain more stringent executive compensation disclosure rules.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62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THE OFFERING</w:t>
      </w:r>
    </w:p>
    <w:p>
      <w:pPr>
        <w:sectPr>
          <w:pgSz w:w="11900" w:h="16838" w:orient="portrait"/>
          <w:cols w:equalWidth="0" w:num="1">
            <w:col w:w="10980"/>
          </w:cols>
          <w:pgMar w:left="460" w:top="927" w:right="4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Ordinary Shares offered by us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9,000,000 Class A Ordinary Shares</w:t>
      </w:r>
    </w:p>
    <w:p>
      <w:pPr>
        <w:spacing w:after="0" w:line="200"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Pre-Funded Warrants offered by us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16,999,998 Pre-Funded Warrants to purchase up to 176,034,979 Class A Ordinary Shares. The Pre-Funded Warrants will be immediately exercisable and may be exercised at any time until all of the Pre-Funded Warrants are exercised in full.</w:t>
      </w:r>
    </w:p>
    <w:p>
      <w:pPr>
        <w:spacing w:after="0" w:line="172"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Offering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offering price of the Class A Ordinary Shares is $0.25 per share.</w:t>
      </w:r>
    </w:p>
    <w:p>
      <w:pPr>
        <w:spacing w:after="0" w:line="200"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line="25" w:lineRule="exact"/>
        <w:rPr>
          <w:sz w:val="20"/>
          <w:szCs w:val="20"/>
          <w:color w:val="auto"/>
        </w:rPr>
      </w:pPr>
    </w:p>
    <w:p>
      <w:pPr>
        <w:jc w:val="both"/>
        <w:ind w:left="4040" w:right="20"/>
        <w:spacing w:after="0" w:line="266" w:lineRule="auto"/>
        <w:rPr>
          <w:sz w:val="20"/>
          <w:szCs w:val="20"/>
          <w:color w:val="auto"/>
        </w:rPr>
      </w:pPr>
      <w:r>
        <w:rPr>
          <w:rFonts w:ascii="Times New Roman" w:cs="Times New Roman" w:eastAsia="Times New Roman" w:hAnsi="Times New Roman"/>
          <w:sz w:val="18"/>
          <w:szCs w:val="18"/>
          <w:color w:val="auto"/>
        </w:rPr>
        <w:t>The purchase price for each Pre-Funded Warrant is equal to the public offering price for the Class A Shares less the $0.0026 per share exercise price of each such Pre-Funded Warrant which is $0.2474.</w:t>
      </w:r>
    </w:p>
    <w:p>
      <w:pPr>
        <w:sectPr>
          <w:pgSz w:w="11900" w:h="16838" w:orient="portrait"/>
          <w:cols w:equalWidth="0" w:num="1">
            <w:col w:w="10980"/>
          </w:cols>
          <w:pgMar w:left="460" w:top="927" w:right="45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Shares outstanding prior to this offering</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58,753,028</w:t>
      </w:r>
    </w:p>
    <w:p>
      <w:pPr>
        <w:spacing w:after="0" w:line="200" w:lineRule="exact"/>
        <w:rPr>
          <w:sz w:val="20"/>
          <w:szCs w:val="20"/>
          <w:color w:val="auto"/>
        </w:rPr>
      </w:pPr>
    </w:p>
    <w:p>
      <w:pPr>
        <w:sectPr>
          <w:pgSz w:w="11900" w:h="16838" w:orient="portrait"/>
          <w:cols w:equalWidth="0" w:num="2">
            <w:col w:w="3720" w:space="320"/>
            <w:col w:w="6940"/>
          </w:cols>
          <w:pgMar w:left="460" w:top="927" w:right="4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Shares outstanding prior to this offering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67,753,028 (243,788,007, assuming the Pre-Funded Warrants are exercised in full)</w:t>
      </w:r>
    </w:p>
    <w:p>
      <w:pPr>
        <w:spacing w:after="0" w:line="200" w:lineRule="exact"/>
        <w:rPr>
          <w:sz w:val="20"/>
          <w:szCs w:val="20"/>
          <w:color w:val="auto"/>
        </w:rPr>
      </w:pPr>
    </w:p>
    <w:p>
      <w:pPr>
        <w:sectPr>
          <w:pgSz w:w="11900" w:h="16838" w:orient="portrait"/>
          <w:cols w:equalWidth="0" w:num="2">
            <w:col w:w="3720" w:space="320"/>
            <w:col w:w="6940"/>
          </w:cols>
          <w:pgMar w:left="460" w:top="927"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Lock-Up Agreements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Each of the directors, officers, and 5% or more shareholders of the Company have entered into a lock-up agreement with the placement agent, pursuant to which, each lock-up party agreed, for a period of 90 days after the closing of this offering, no to offer, pledge, sell, contract to sell, sell any option or contract to purchase, purchase any option or contract to sell, grant any option, right, or warrant to purchase, lend, or otherwise transfer or dispose of, directly or indirectly, our Class A Ordinary Shares or any securities convertible into or exercisable or exchangeable for our Class A Ordinary Shares;</w:t>
      </w:r>
    </w:p>
    <w:p>
      <w:pPr>
        <w:spacing w:after="0" w:line="185"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have agreed to issue and sell the securities offered hereby to the purchasers through the placement agent. The placement agent is not required to buy or sell any specific number or dollar amount of the securities offered hereby, but it will use its best efforts to solicit offers to purchase the securities offered by this prospectus supplement. See “Plan of Distribution” on page S-15 of this prospectus supplement.</w:t>
      </w:r>
    </w:p>
    <w:p>
      <w:pPr>
        <w:spacing w:after="0" w:line="179"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under this prospectus for general corporate purposes, which include but not limited to working capital, operating expenses, capital expenditures, potential acquisitions, business development activities, and other strategic initiatives in line with the Company’s growth plans. See “Use of Proceeds” on page S-11 of this prospectus supplement.</w:t>
      </w:r>
    </w:p>
    <w:p>
      <w:pPr>
        <w:spacing w:after="0" w:line="179"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Investing in our Class A Ordinary Shares involves a high degree of risk. See “Risk Factors” beginning on page S-7 of this prospectus supplement and in the documents incorporated by reference into this prospectus supplement and the accompanying prospectus for a discussion of the risks you should carefully consider before deciding to invest in the Class A Ordinary Shares.</w:t>
      </w:r>
    </w:p>
    <w:p>
      <w:pPr>
        <w:spacing w:after="0" w:line="179"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Transhare Corporation</w:t>
      </w:r>
    </w:p>
    <w:p>
      <w:pPr>
        <w:spacing w:after="0" w:line="200"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Nasdaq Capital Market symbol</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listed on the Nasdaq under the symbol “HAO.”</w:t>
      </w:r>
    </w:p>
    <w:p>
      <w:pPr>
        <w:spacing w:after="0" w:line="200" w:lineRule="exact"/>
        <w:rPr>
          <w:sz w:val="20"/>
          <w:szCs w:val="20"/>
          <w:color w:val="auto"/>
        </w:rPr>
      </w:pPr>
    </w:p>
    <w:p>
      <w:pPr>
        <w:sectPr>
          <w:pgSz w:w="11900" w:h="16838" w:orient="portrait"/>
          <w:cols w:equalWidth="0" w:num="2">
            <w:col w:w="3320" w:space="720"/>
            <w:col w:w="6940"/>
          </w:cols>
          <w:pgMar w:left="460" w:top="927" w:right="459" w:bottom="1440" w:gutter="0" w:footer="0" w:header="0"/>
          <w:type w:val="continuous"/>
        </w:sectPr>
      </w:pPr>
    </w:p>
    <w:p>
      <w:pPr>
        <w:spacing w:after="0" w:line="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otherwise noted, the number of shares outstanding is based on 58,753,028 Class A Ordinary Shares and 690,800 Class B Ordinary Shares outstanding as of May 11, 2026.</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securities involves significant risks. Before making an investment decision, you should carefully consider the risks described below and in our most recent Annual Report on Form 20-F, and in our other SEC filings incorporated by reference into this prospectus supplement and the accompanying prospectus, and in any amendment or update thereto reflected in our subsequent filings with the SEC and incorporated by reference into this prospectus supplement and the accompanying prospectus, together with all of the other information appearing in this prospectus supplement or the accompanying prospectus or incorporated by reference herein or therein, including in light of your particular investment objectives and financial circumstances. The risks so described are not the only risks we face. Additional risks not presently known to us or that we currently deem immaterial may also impair our business operations and become material.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“Cautionary Statement Regarding Forward-Looking Statements”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Since we have broad discretion in how we use the proceeds from this offering, we may use the proceeds in ways with which you disagree.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of this offering for working capital and for other general corporate purposes, which include operating expenses, capital expenditures, potential acquisitions, business development activities, and other strategic initiatives in line with the Company’s growth plans.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us a favorable, or any, return. The failure of our management to use the net proceeds effectively could have a material adverse effect on our business, financial condition, operating results and cash flow.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incur immediate dilution from the public offering price.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will suffer immediate dilution in the net tangible book value of the Class A Ordinary Shares you purchase in this offering of $0.16 per share, with respect to the net tangible book value of the Class A Ordinary Shares. See “Dilution” for a more detailed discussion of the dilution you will incur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offered hereby and we do not expect a market to develop. In addition the Pre-Funded Warrants offered in this offering are not and will not be listed on any securities exchange. Accordingly, investors may find it difficult to dispose of, or to obtain accurate quotations as to the market value of the Pre-Funded Warrants. This lack of a trading market could result in investors being unable to liquidate their investment in the Pre-Funded Warrants or to sell them at a price that reflects their value. The absence of a public market for the Pre-Funded Warrants could also reduce the liquidity and market price of our Class A Ordinary Shares to which these warrants are exercisable. Investors should be prepared to bear the risk of investment in the Pre-Funded Warrants indefinitely.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Class A Ordinary Shares or other securities convertible into or exchangeable for our Class A Ordinary Shares at prices that may not be the same as the price per share in this offering. We may sell shares or other securities in any future offering at a price per share that is less than the price per share paid by investors in this offering, and investors purchasing shares or other securities in the future could have rights superior to existing shareholders. The price per share at which we sell additional Class A Ordinary Shares, or securities convertible or exchangeable into our Class A Ordinary Shares, in future transactions or acquisitions may be higher or lower than the price per share paid by investors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the Class A Ordinary Shares may be volatile.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 of the Class A Ordinary Shares has fluctuated in the past. Consequently, the current market price of the Class A Ordinary Shares may not be indicative of future market prices, and we may be unable to sustain or increase the value of your investment in the Class A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 plan to declare or pay any dividends in the foreseeable future on our Ordinary Shares. We currently intend to retain most, if not all, of our available funds and any future earnings to operate and expand our business. Therefore, you should not rely on an investment in Ordinary Shares as a source for any future dividend income. 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 ADDITION TO THE ABOVE RISKS, BUSINESSES ARE OFTEN SUBJECT TO RISKS NOT FORESEEN OR FULLY APPRECIATED BY MANAGEMENT. IN REVIEWING THIS FILING, POTENTIAL INVESTORS SHOULD KEEP IN MIND THAT OTHER POSSIBLE RISKS MAY ADVERSELY IMPACT THE COMPANY’S BUSINESS OPERATIONS AND THE VALUE OF THE COMPANY’S SECURITIES.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certain information incorporated by reference in this prospectus supplement and the accompanying prospectus contain “forward-looking statements” within the meaning of Section 27A of the Securities Act and Section 21E of the U.S. Securities Exchange Act of 1934, as amended, or the Exchange Act, and other securities laws. Forward-looking statements are often characterized by the use of forward-looking terminology such as “may,” “will,” “should,” “expects,” “plans,” “anticipates,” “believes,” “estimates,” “predicts,” “potential” “intends” or “continue,” or the negative of these terms or other comparable terminology.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may include, but are not limited to, statements relating to our objectives, plans and strategies, statements that contain projections of results of operations or of financial condition, expected capital needs and expenses, statements relating to the research, development, completion and use of our services or products, and all statements (other than statements of historical facts) that address activities, events or developments that we intend, expect, project, believe or anticipate will or may occur in the future.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are subject to risks and uncertainties. We have based these forward-looking statements on assumptions and assessments made by our management in light of their experience and their perception of historical trends, current conditions, expected future developments and other factors they believe to be appropriate.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developments and business decisions to differ materially from those anticipated in these forward-looking statements include, among other things:</w:t>
      </w:r>
    </w:p>
    <w:p>
      <w:pPr>
        <w:spacing w:after="0" w:line="162"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market for our concrete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nutraceutical and dietary supplements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establish partnerships and develop new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partners;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affecting our equity capital;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macroeconomic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Assuming all Pre Funded Warrants are exercised, we expect that the net proceeds from this Offering will be approximately $5.93 million, net of placement agent fees and other offering expenses.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under this prospectus for general corporate purposes, which include operating expenses, capital expenditures, potential acquisitions, business development activities which may include expanding relationships with new and existing customers and channel partners, strengthening cooperation with media platform partners and other ecosystem participants, and supporting go-to-market initiatives for new or enhanced service offerings, and other strategic initiatives in line with the Company’s growth plans. The timing and amount of our actual expenditures will be based on many factors, and we cannot specify with certainty all of the particular uses of the net proceeds from this offering. Accordingly, our management will have significant discretion and flexibility in applying the net proceeds of this offering. We have no current commitments or binding agreements with respect to any material acquisition of or investment in any technologies, products or companies.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may invest the net proceeds of this offering in a variety of capital preservation investments, including but not limited to short-term, investment grade, interest bearing instruments.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our subsidiaries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(“CFS”) as of and for the fiscal years ended June 30, 2025, 2024 and 2023 included in 2025 Annual Report.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subject to the provisions in our articles of association, our shareholders may by ordinary resolution declare a dividend, but no dividend may exceed the amount recommended by our board of directors.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you invest in our Class A Ordinary Shares, you will experience immediate dilution to the extent of the difference between the public offering price of the Class A Ordinary Shares in this offering and the net tangible book value per Ordinary Share immediately after the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net tangible book value per Ordinary Share is determined by dividing our total tangible assets, less total liabilities, by the actual number of outstanding Ordinary Shares. The net tangible book value of our Ordinary Shares as of December 31, 2025 was approximately $0.26 per share. Net tangible book value per share represents the amount of our total tangible assets less our total liabilities, divided by 59,443,828, which is the total number of Class A Ordinary Shares and Class B Ordinary Shares outstanding as of December 31,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our Class A Ordinary Shares in this offering, our pro forma as adjusted net tangible book value as of December 31, 2025 would have been approximately $21.19 million, or $0.09 per share. This amount represents an immediate increase in net tangible book value of $5.93 million and an immediate decrease in net tangible book value per Ordinary Share of $0.17 as a result of this offering and an immediate dilution of approximately $0.16 per Class A Ordinary Share to investors purchasing Class A Ordinary Shares in this offering.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illustrates this dilution on a per Class A Ordinary Share basis. The as adjusted information is illustrative only and will adjust based on the actual prices to the public, the actual number of Class A Ordinary Shares sold, and other terms of the offering determined at the times our Class A Ordinary Shares are sold pursuant to this prospectus. The Class A Ordinary Shares sold in this offering, if any, will be sold from time to time at various prices.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offering price per Class A Ordinary Share</w:t>
            </w: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Class A Ordinary Share as of December 31, 2025</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Class A Ordinary Share after offering</w:t>
            </w: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r>
      <w:tr>
        <w:trPr>
          <w:trHeight w:val="198"/>
        </w:trPr>
        <w:tc>
          <w:tcPr>
            <w:tcW w:w="9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Decrease in pro forma as adjusted net tangible book value per Ordinary Share attributable to investors purchasing Class A Ordinary</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in this offering</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r>
      <w:tr>
        <w:trPr>
          <w:trHeight w:val="216"/>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Ordinary Share to investors purchasing Class A Ordinary Shares in the offering</w:t>
            </w:r>
          </w:p>
        </w:tc>
        <w:tc>
          <w:tcPr>
            <w:tcW w:w="7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above discussion and table are based on 58,753,028 Class A Ordinary Shares and 690,800 Class B Ordinary Shares outstanding as of May 11, 2026. To the extent that we grant additional options or other awards under our stock incentive plan or issue additional warrants, or we issue additional Class A Ordinary Shares in the future, there may be further dilution.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choose to raise additional capital due to market conditions or strategic considerations even if we believe that we have sufficient funds for our current and future operating plans. To the extent that additional capital is raised through the sale of equity or convertible debt securities, the issuance of those securities could result in further dilution to the holders of our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cash and capitalization as of December 31, 2025, presented on:</w:t>
      </w:r>
    </w:p>
    <w:p>
      <w:pPr>
        <w:spacing w:after="0" w:line="225"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this offering.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“Use of Proceeds,” “Selected Consolidated Financial Data,” “Management’s Discussion and Analysis of Financial Condition and Results of Operations” and our consolidated financial statements and related notes appearing in our 2025 Annual Report and consolidated financial statements for the six months ended December 31, 2025, incorporated by reference in this prospectus supplement.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0" w:type="dxa"/>
            <w:vAlign w:val="bottom"/>
          </w:tcPr>
          <w:p>
            <w:pPr>
              <w:spacing w:after="0"/>
              <w:rPr>
                <w:sz w:val="1"/>
                <w:szCs w:val="1"/>
                <w:color w:val="auto"/>
              </w:rPr>
            </w:pPr>
          </w:p>
        </w:tc>
      </w:tr>
      <w:tr>
        <w:trPr>
          <w:trHeight w:val="194"/>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Actual</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6,801,155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12,733,655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266,048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266,048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Class A Ordinary Shares, $0.0025 par value, 300,000,000 shares authorized, 58,753,028 shares and 99,271,700</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and pro form as adjusted.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609,471</w:t>
            </w: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B Ordinary Shares, $0.0025 par value, 100,000,000 shares authorized, 690,800 shares issued and outstanding,</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actual and as adjusted</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1,727</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18,021,308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23,491,221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deficits)/Retained earnings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(2,281,272)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(2,281,272)</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67,972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67,972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15,956,619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21,889,119</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and discussions above are based on 58,753,028 Class A Shares outstanding as of December 31,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OFFERED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are offering 9,000,000 Class A Ordinary Shares and 16,999,998 Pre-Funded Warrants to purchase up to 176,034,979 Class A Ordinary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description of our Class A Ordinary Shares and such Pre-Funded Warrants summarizes the material terms and provisions thereof.</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description of the rights associated with the Class A Ordinary Shares, see “Description of Share Capital” in the accompanying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are listed on the Nasdaq Capital Market under the symbol “HAO.” Our transfer agent is TranShare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Pre-Funded Warrants offered hereby is not complete and is subject to, and qualified in its entirety by, the terms and provisions of the form of Warrant. Prospective investors should carefully review the terms and provisions set forth in the form of Warrant.</w:t>
      </w:r>
    </w:p>
    <w:p>
      <w:pPr>
        <w:spacing w:after="0" w:line="17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Exercisability. </w:t>
      </w:r>
      <w:r>
        <w:rPr>
          <w:rFonts w:ascii="Times New Roman" w:cs="Times New Roman" w:eastAsia="Times New Roman" w:hAnsi="Times New Roman"/>
          <w:sz w:val="18"/>
          <w:szCs w:val="18"/>
          <w:color w:val="auto"/>
        </w:rPr>
        <w:t>The Pre-Funded Warrants are exercisable at any time after their original issuance and at any time up to the date that is exercised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 The Warrants will be exercisable, at the option of each holder, in whole or in part by delivering to us a duly executed exercise notice and, at any time a registration statement registering the issuance of the Class A Ordinary Shares underlying the warrants under the Securities Act is effective and available for the issuance of such shares, by payment in full in immediately available funds for the number of Class A Ordinary Shares purchased upon such exercise. If a registration statement registering the issuance of the Class A Ordinary Shares underlying the Pre-Funded Warrants under the Securities Act is not effective or available the holder may, in its sole discretion, elect to exercise the Pre-Funded Warrant through a cashless exercise, in which case the holder would receive upon such exercise the net number of Class A Ordinary Shares determined according to the formula set forth in the Pre-Funded Warrant. No fractional shares will be issued in connection with the exercise of a Pre-Funded Warrant.</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Limitation. </w:t>
      </w:r>
      <w:r>
        <w:rPr>
          <w:rFonts w:ascii="Times New Roman" w:cs="Times New Roman" w:eastAsia="Times New Roman" w:hAnsi="Times New Roman"/>
          <w:sz w:val="18"/>
          <w:szCs w:val="18"/>
          <w:color w:val="auto"/>
        </w:rPr>
        <w:t>A holder will not have the right to exercise any portion of the Pre-Funded Warrant if the holder (together with its affiliates)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beneficially own in excess of 4.99% of the number of Ordinary Shares outstanding immediately after giving effect to the exercise, as such percentage ownership is determined in accordance with the terms of the Warrants. However, any holder may increase such percentage to any other percentage not in excess of 9.99%, provided that any increase in such percentage shall not be effective until 61 days following notice from the holder to us.</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Exercise Price and Warrant Shares. </w:t>
      </w:r>
      <w:r>
        <w:rPr>
          <w:rFonts w:ascii="Times New Roman" w:cs="Times New Roman" w:eastAsia="Times New Roman" w:hAnsi="Times New Roman"/>
          <w:sz w:val="18"/>
          <w:szCs w:val="18"/>
          <w:color w:val="auto"/>
        </w:rPr>
        <w:t>The exercise price per whole Class A Ordinary Share purchasable upon exercise of the Pre-Funded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$0.0026. Each Pre-Funded Warrant is exercisable to purchase 10.355 Class A Ordinary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p>
    <w:p>
      <w:pPr>
        <w:spacing w:after="0" w:line="225"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We do not intend to apply to list the Pre-Funded Warrants on any securities exchange or other nationally recognized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Without an active trading market, the liquidity of the Pre-Funded Warrants will be limited.</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Rights as a Shareholder. </w:t>
      </w:r>
      <w:r>
        <w:rPr>
          <w:rFonts w:ascii="Times New Roman" w:cs="Times New Roman" w:eastAsia="Times New Roman" w:hAnsi="Times New Roman"/>
          <w:sz w:val="18"/>
          <w:szCs w:val="18"/>
          <w:color w:val="auto"/>
        </w:rPr>
        <w:t>Except as otherwise provided in the Pre-Funded Warrants or by virtue of such holder’s ownership of our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the holder of a Pre-Funded Warrant does not have the rights or privileges of a holder of our Class A Ordinary Shares, including any voting rights, until the holder exercises the Pre-Funded Warrant.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a placement agency agreement, dated May 11, 2026, we have engaged the Univest Securities as the placement agent (the “Placement Agent” or “Univest”) in connection with this offering. The Placement Agent is not purchasing or selling any such securities, nor is it required to arrange for the purchase and sale of any specific number or dollar amount of such securities, other than to use their “reasonable best efforts,” to arrange for the sale of such securities by us. The terms of this offering are subject to market conditions and negotiations between us, the Placement Agent, and prospective investors. The placement agency agreement does not give rise to any commitment by the Placement Agent to purchase any of our securities, and the Placement Agent will have no authority to bind us by virtue of the placement agency agreement. Further, the Placement Agent does not guarantee that it will be able to raise new capital in any prospective offering. We will enter into a securities purchase agreement directly with certain investors, at the investor’s option, who purchase our securities in this offering. Investors who do not enter into a securities purchase agreement shall rely solely on this prospectus supplement and the documents incorporated by reference herein in connection with the purchase of our securities in this offering. In addition to rights and remedies available to all purchasers in this offering under federal securities and state law, the investors which enter into a securities purchase agreement will also be able to bring claims of breach of contract against us.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 securities purchase agreement directly with certain investors, at the investor’s option, who purchase our securities in this offering. In addition to rights and remedies available to all purchasers in this offering under federal securities and state law, the investors which enter into a securities purchase agreement will also be able to bring claims of breach of contract against us.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deliver to the investors the Class A Ordinary Shares and Pre-Funded Warrants electronically, upon closing and receipt of investor funds for the purchase of the Class A Ordinary Shares and Pre-Funded Warrants offered pursuant to this prospectus supplement. We expect the delivery of the Class A Ordinary Shares and Pre-Funded Warrants being offered pursuant to this prospectus supplement against payment in U.S. dollars will be made on or about May 12, 2026.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Placement Agency Agreement and the form of securities purchase agreement will be included as exhibits to a Report of Foreign Private Issuer on Form 6-K to be filed with the SEC in connection with this offering and incorporated by reference into the registration statement of which this prospectus supplement forms a part.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Placement Agent’s fees we will pay in connection with the sale of Class A Ordinary Shares and Pre-Funded Warrants in this offering: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2"/>
              </w:rPr>
              <w:t>0.2474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6,455,799.51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0.0175</w:t>
            </w:r>
          </w:p>
        </w:tc>
        <w:tc>
          <w:tcPr>
            <w:tcW w:w="13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0.0173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451,905.97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0.2325</w:t>
            </w:r>
          </w:p>
        </w:tc>
        <w:tc>
          <w:tcPr>
            <w:tcW w:w="13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0.2301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6,003,893.54</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the placement agent a fee equal to the sum of 7.0% of the aggregate purchase price paid by the investors placed by the placement agent. We have also agreed to pay to the placement agent a non-accountable expense reimbursement equal to 0.5% of the gross proceeds from this offering, and to the placement agent up to $80,000 for the reasonable and accounted fees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the offering is consummated, we have agreed to grant the Placement Agent a right of first refusal (the “Right of First Refusal”) for a period of six (6) months from the closing of this offering, to act as sole managing underwriter and sole book runner, sole placement agent, or sole sales agent, for any and all future public equity, equity-linked or debt (excluding commercial bank debt) offerings for which we retain the service of an underwriter, agent, advisor, finder or other person or entity in connection with such offering of the Company, or any successor to or any subsidiary of the Company (the “Subsequent Offering”), excluding any private placement transactions between the Company and non-U.S. persons in compliance with Regulation S promulgated under the Securities Act, provided that no placement agent, underwriter or other investment bank is engaged in connection with such transactions. We have agreed not to offer to retain any entity or person in connection with any such offering on terms more favorable than terms on which we offer to retain the Placement Agent. Such offer shall be made in writing in order to be effective. The Right of First Refusal granted hereunder may be terminated by the Company for “Cause,” which shall mean a material breach by the Placement Agent of this Agreement or a material failure by the Placement Agent to provide the services as contemplated by this Agreement. The services provided by the Placement Agent hereunder are solely for the benefit of the Company and are not intended to confer any rights upon any persons or entities not a party hereto (including, without limitation, securityholders, employees or creditors of the Company) as against Univest or its directors, officers, agents and employees.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the Placement Agency Agreement, or to contribute to payments that the Placement Agent may be required to make in respect of those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55"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certain legal matters in connection with the securities offered pursuant to this prospectus supplement will be passed upon for us by Hunter Taubman Fischer &amp; Li LLC to the extent governed by the laws of the State of New York, and by Ogier to the extent governed by the laws of the Cayman Islands and by Sino Pro Law Firm to the extent governed by the laws of P.R. China.</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as of June 30, 2025 and 2024, and for the years ended June 30, 2025, 2024, and 2023 incorporated by reference into this prospectus and in the registration statement have been so incorporated in reliance on the report of Wei, Wei &amp; Co., LLP, an independent registered public accounting firm, which contains an explanatory paragraph describing conditions that raise substantial doubt about the Company’s ability to continue as a going concern, incorporated herein by reference, given on the authority of said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F-3 filed by us with the SEC under the Securities Act. As permitted by the rules and regulations of the SEC, this prospectus supplement and the accompanying prospectus do not contain all the information set forth in the registration statement and the exhibits thereto filed with the SEC. For further information with respect to us and the Class A Ordinary Shares offered hereby, you should refer to the complete registration statement on Form F-3, which may be obtained from the locations described above in the immediately preceding paragraph. Statements contained in this prospectus supplement, the accompanying prospectus supplement or any document incorporated by reference herein or therein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an Internet website that contains reports and other information regarding issuers that file electronically with the SEC. Our filings with the SEC are also available to the public through the SEC’s website at www.sec.gov.</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that are applicable to foreign private issuers, and under those requirements are filing reports with the SEC. Those other reports or other information may be inspected without charge at the locations described above.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with the SEC as frequently or as promptly as U.S. companies whose securities are registered under the Exchange Act. However, we are required to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interim financial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a corporate website at https://ir.haoximedia.com/. Information contained on, or that can be accessed through, our website does not constitute a part of this prospectus. We have included our website address in this prospectus solely as an inactive textual reference. We will post on our website any materials required to be so posted on such website under applicable corporate or securities laws and regulations, including, posting any XBRL interactive financial data required to be filed with the SEC and any notices of general meetings of our shareholders.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The information incorporated by reference is considered to be part of this prospectus and information we file later with the SEC will automatically update and supersede this information. The following documents filed with or furnished to the SEC by us are incorporated by reference in this prospectus supplement and the accompanying prospectus:</w:t>
      </w:r>
    </w:p>
    <w:p>
      <w:pPr>
        <w:spacing w:after="0" w:line="183"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2025, filed with the SEC on October 20, 2025;</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Reports on Form 6-K furnished on </w:t>
      </w:r>
      <w:hyperlink r:id="rId40">
        <w:r>
          <w:rPr>
            <w:rFonts w:ascii="Times New Roman" w:cs="Times New Roman" w:eastAsia="Times New Roman" w:hAnsi="Times New Roman"/>
            <w:sz w:val="18"/>
            <w:szCs w:val="18"/>
            <w:u w:val="single" w:color="auto"/>
            <w:color w:val="0000EE"/>
          </w:rPr>
          <w:t>October 24, 2025</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November 12, 2025</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December 3, 2025</w:t>
        </w:r>
      </w:hyperlink>
      <w:r>
        <w:rPr>
          <w:rFonts w:ascii="Times New Roman" w:cs="Times New Roman" w:eastAsia="Times New Roman" w:hAnsi="Times New Roman"/>
          <w:sz w:val="18"/>
          <w:szCs w:val="18"/>
          <w:color w:val="auto"/>
        </w:rPr>
        <w:t xml:space="preserve">; and </w:t>
      </w:r>
      <w:hyperlink r:id="rId43">
        <w:r>
          <w:rPr>
            <w:rFonts w:ascii="Times New Roman" w:cs="Times New Roman" w:eastAsia="Times New Roman" w:hAnsi="Times New Roman"/>
            <w:sz w:val="18"/>
            <w:szCs w:val="18"/>
            <w:u w:val="single" w:color="auto"/>
            <w:color w:val="0000EE"/>
          </w:rPr>
          <w:t>December 10, 2025</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January 23,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February 10,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March 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April 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April 22,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Ordinary Shares incorporated by reference in our registration statement on </w:t>
      </w:r>
      <w:hyperlink r:id="rId49">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001-41933) originally filed with the Commission on January 24, 2024, including any amendment and report subsequently filed for the purpose of updating that description.</w:t>
      </w:r>
    </w:p>
    <w:p>
      <w:pPr>
        <w:spacing w:after="0" w:line="176" w:lineRule="exact"/>
        <w:rPr>
          <w:rFonts w:ascii="Times New Roman" w:cs="Times New Roman" w:eastAsia="Times New Roman" w:hAnsi="Times New Roman"/>
          <w:sz w:val="18"/>
          <w:szCs w:val="18"/>
          <w:color w:val="0000EE"/>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subsequent Annual Reports filed by us pursuant to the Exchange Act on Form 20-F prior to the termination of this offering shall be deemed to be incorporated by reference to this prospectus supplement and the accompanying prospectus and to be a part hereof and thereof from the date of filing of such documents. We may also incorporate any Form 6-K subsequently submitted by us to the SEC prior to the termination of this offering by identifying in such Forms 6-K that they are being incorporated by reference herein and in the accompanying prospectus, and any Forms 6-K so identified shall be deemed to be incorporated by reference in this prospectus supplement and the accompanying prospectus and to be a part hereof from the date of submission of such documents. Any statement contained in a document incorporated or deemed to be incorporated by reference herein and in the accompanying prospectus shall be deemed to be modified or superseded for purposes of this prospectus supplement and the accompanying prospectus to the extent that a statement contained herein or in any other subsequently filed document which also is incorporated or deemed to be incorporated by reference herein and in the accompanying prospectus modifies or supersedes such statement. Any such statement so modified or superseded shall not be deemed, except as so modified or superseded, to constitute a part of this prospectus supplement or the accompanying prospectus.</w:t>
      </w:r>
    </w:p>
    <w:p>
      <w:pPr>
        <w:spacing w:after="0" w:line="194" w:lineRule="exact"/>
        <w:rPr>
          <w:rFonts w:ascii="Times New Roman" w:cs="Times New Roman" w:eastAsia="Times New Roman" w:hAnsi="Times New Roman"/>
          <w:sz w:val="18"/>
          <w:szCs w:val="18"/>
          <w:color w:val="0000EE"/>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we incorporate by reference is an important part of this prospectus supplement and the accompanying prospectus, and later information that we file with the SEC that is incorporated by reference will automatically update and supersede the information contained in this prospectus supplement and the accompanying prospectus.</w:t>
      </w:r>
    </w:p>
    <w:p>
      <w:pPr>
        <w:spacing w:after="0" w:line="176"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provide you without charge, upon your written or oral request, a copy of any of the documents incorporated by reference in this prospectus, other than exhibits to such documents which are not specifically incorporated by reference into such documents. Please direct your written or telephone requests to us at Room 801, Tower C, Floor 8, Building 103, Huizhongli, Chaoyang District, Beijing, China, Attn: Zhen Fan, Tel: +86-10-13311587976.</w:t>
      </w:r>
    </w:p>
    <w:p>
      <w:pPr>
        <w:spacing w:after="0" w:line="39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$80,000,000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Ordinary Shares, 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Rights and Units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up to $80,000,000 in the aggregate of Class A ordinary shares, par value $0.0025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debt securities, warrants, units and rights to purchase Class A Ordinary Shares, or debt securities, rights or any combination of the foregoing, either individually or as units comprised of one or more of the other securities.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a general description of the securities we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 w:cs="Times New Roman" w:eastAsia="Times New Roman" w:hAnsi="Times New Roman"/>
          <w:sz w:val="18"/>
          <w:szCs w:val="18"/>
          <w:b w:val="1"/>
          <w:bCs w:val="1"/>
          <w:color w:val="auto"/>
        </w:rPr>
        <w:t>This prospectus may not be used to offer or sell any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unless accompanied by the applicable prospectus supplement.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“HAO.” On June 9, 2025, the last reported sale price of our Class A Ordinary Shares on the Nasdaq Capital Market was $1.37 per share. The applicable prospectus supplement will contain information, where applicable, as to other listings, if any, on the Nasdaq Capital Market or other securities exchange of the securities covered by the prospectus supplement.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General Instruction I.B.5. of Form F-3, in no event will we sell the securities covered hereby in a public primary offering with a value more than one-third of the aggregate market value of our voting and non-voting common equity in any 12-month period so long as the aggregate market value of our issued and outstanding voting and non-voting common equity held by non-affiliates remains below US$75,000,000. The aggregate market value of our issued and outstanding Class A Ordinary Shares and Class B ordinary shares, par value $0.0025 each (the “</w:t>
      </w:r>
      <w:r>
        <w:rPr>
          <w:rFonts w:ascii="Times New Roman" w:cs="Times New Roman" w:eastAsia="Times New Roman" w:hAnsi="Times New Roman"/>
          <w:sz w:val="18"/>
          <w:szCs w:val="18"/>
          <w:b w:val="1"/>
          <w:bCs w:val="1"/>
          <w:color w:val="auto"/>
        </w:rPr>
        <w:t>Class B Ordinary Shares</w:t>
      </w:r>
      <w:r>
        <w:rPr>
          <w:rFonts w:ascii="Times New Roman" w:cs="Times New Roman" w:eastAsia="Times New Roman" w:hAnsi="Times New Roman"/>
          <w:sz w:val="18"/>
          <w:szCs w:val="18"/>
          <w:color w:val="auto"/>
        </w:rPr>
        <w:t>”), held by non-affiliates, or public float, as of May 12, 2025, was approximately US$2 million, which was calculated based on 1,255,595 Class A Ordinary Shares and zero Class B Ordinary Shares held by non-affiliates. During the 12 calendar months prior to and including the date of this prospectus, we have not offered or sold any securities pursuant to General Instruction I.B.5 of Form F-3.</w:t>
      </w:r>
    </w:p>
    <w:p>
      <w:pPr>
        <w:spacing w:after="0" w:line="18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6 of this prospectus and in the documents incorporated by reference in this prospectus, as updated in the applicable prospectus supplement, any related free writing prospectus and other future filings we make with the Securities and Exchange Commission that are incorporated by reference into this prospectus, for a discussion of the factors you should consider carefully before deciding to purchase our securities.</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with no material operations of our own and we are not a Chinese operating company. Our operations are conducted in China through our wholly owned indirect PRC subsidiary, Beijing Haoxi Digital Technology Co., Ltd. (“</w:t>
      </w:r>
      <w:r>
        <w:rPr>
          <w:rFonts w:ascii="Times New Roman" w:cs="Times New Roman" w:eastAsia="Times New Roman" w:hAnsi="Times New Roman"/>
          <w:sz w:val="18"/>
          <w:szCs w:val="18"/>
          <w:b w:val="1"/>
          <w:bCs w:val="1"/>
          <w:color w:val="auto"/>
        </w:rPr>
        <w:t>Haoxi Beijing</w:t>
      </w:r>
      <w:r>
        <w:rPr>
          <w:rFonts w:ascii="Times New Roman" w:cs="Times New Roman" w:eastAsia="Times New Roman" w:hAnsi="Times New Roman"/>
          <w:sz w:val="18"/>
          <w:szCs w:val="18"/>
          <w:color w:val="auto"/>
        </w:rPr>
        <w:t>”). The securities being offered hereunder are those of the offshore holding company in the Cayman Islands, instead of securities of the operating entity in China. Therefore, you will not directly hold any equity interests in the operating entity. We are subject to certain legal and operational risks associated with business operations of Haoxi Beijing in China and the Chinese regulatory authorities could disallow our corporate structure, which could cause the value of our securities to significantly decline or become worthless. For more details, see “Item 3. Key Information—D.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“—The CSRC has promulgated Overseas Listing Trial Measures on February 17, 2023. The offering pursuant to any accompanying prospectus supplement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and “—Any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annual report on the Form 20-F for the year ended June 30, 2024 (“</w:t>
      </w:r>
      <w:r>
        <w:rPr>
          <w:rFonts w:ascii="Times New Roman" w:cs="Times New Roman" w:eastAsia="Times New Roman" w:hAnsi="Times New Roman"/>
          <w:sz w:val="18"/>
          <w:szCs w:val="18"/>
          <w:b w:val="1"/>
          <w:bCs w:val="1"/>
          <w:color w:val="auto"/>
        </w:rPr>
        <w:t>2024 Annual Report</w:t>
      </w:r>
      <w:r>
        <w:rPr>
          <w:rFonts w:ascii="Times New Roman" w:cs="Times New Roman" w:eastAsia="Times New Roman" w:hAnsi="Times New Roman"/>
          <w:sz w:val="18"/>
          <w:szCs w:val="18"/>
          <w:color w:val="auto"/>
        </w:rPr>
        <w:t>”),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October 29, 2024, incorporated herein by reference and “Risk Factors—The PRC government exerts substantial influence over the manner in which we conduct our business activities. The PRC government may also intervene or influence our operations and the offering pursuant to any accompanying prospectus supplement at any time, which could result in a material change in our operations and our Class A Ordinary Shares could decline in value or become worthless” on page 6 of this prospectus.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March 15, 2019, the PRC National People’s Congress approved the PRC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On December 26, 2019, the PRC State Council approved the Implementation Rules of Foreign Investment Law, which came into effect on January 1, 2020. Since the PRC Foreign Investment Law is relatively new, substantial uncertainties exist with respect to its interpretation and implementation. Under the PRC Foreign Investment Law, “foreign investment” refers to the investment activities directly or indirectly conducted by foreign individuals, enterprises or other entities in China. The PRC Foreign Investment Law sets out the basic regulatory framework for foreign investments and proposes to implement a management system of pre-establishment national treatment with a “negative list” for foreign investments, pursuant to which (i) a foreign invested enterprise, or FIE, under PRC law shall not invest in any sector forbidden by the negative list for access of foreign investment, (ii) for any sector restricted by the negative list, an FIE shall conform to the investment conditions provided in the negative list, and (iii) sectors not included in the negative list shall be managed under the principle that domestic investment and foreign investment shall be treated equally. The PRC Foreign Investment Law also sets forth necessary mechanisms to facilitate, protect and manage foreign investments and proposes to establish a foreign investment information report system in which FIE shall submit the investment information to competent departments of commerce through the enterprise registration system and the enterprise credit information publicity system. Haoxi Beijing is an online marketing solution provider in China with an advertiser client base mainly in the healthcare industry, which is not a prohibited or restricted industry in the negative list that is currently effective as of the date of this prospectus. It is uncertain whether the online marketing industry, in which Haoxi Beijing operates, will be subject to the foreign investment restrictions or prohibitions set forth in any “negative list” to be issued in the future. There are uncertainties as to how the PRC Foreign Investment Law would be further interpreted and implemented. We cannot assure you that the interpretation and implementation of the PRC Foreign Investment Law made by the relevant governmental authorities in the future will not materially impact our corporate governance and business operations in any aspect. See “Item</w:t>
      </w:r>
    </w:p>
    <w:p>
      <w:pPr>
        <w:spacing w:after="0" w:line="9" w:lineRule="exact"/>
        <w:rPr>
          <w:sz w:val="20"/>
          <w:szCs w:val="20"/>
          <w:color w:val="auto"/>
        </w:rPr>
      </w:pPr>
    </w:p>
    <w:p>
      <w:pPr>
        <w:jc w:val="both"/>
        <w:ind w:right="20" w:firstLine="8"/>
        <w:spacing w:after="0" w:line="255" w:lineRule="auto"/>
        <w:tabs>
          <w:tab w:leader="none" w:pos="1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Related to Doing Business in China—Substantial uncertainties exist with respect to the interpretation and implementation of the PRC Foreign Investment Law and its Implementation Rules and how they may impact the viability of our current corporate structure, corporate governance and business operations” in our 2024 Annual Report.</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Recently, the PRC government adopted a series of regulatory actions and issued statements to regulate business operations in China with little advance notice, including cracking down on illegal activities in the securities market, adopting new measures to extend the scope of cybersecurity reviews, and expanding the efforts in anti-monopoly enforcement. On December 28, 2021, 13 governmental departments of the PRC, including the Cyberspace Administration of China (the “</w:t>
      </w:r>
      <w:r>
        <w:rPr>
          <w:rFonts w:ascii="Times New Roman" w:cs="Times New Roman" w:eastAsia="Times New Roman" w:hAnsi="Times New Roman"/>
          <w:sz w:val="18"/>
          <w:szCs w:val="18"/>
          <w:b w:val="1"/>
          <w:bCs w:val="1"/>
          <w:color w:val="auto"/>
        </w:rPr>
        <w:t>CAC</w:t>
      </w:r>
      <w:r>
        <w:rPr>
          <w:rFonts w:ascii="Times New Roman" w:cs="Times New Roman" w:eastAsia="Times New Roman" w:hAnsi="Times New Roman"/>
          <w:sz w:val="18"/>
          <w:szCs w:val="18"/>
          <w:color w:val="auto"/>
        </w:rPr>
        <w:t>”), issued the Cybersecurity Review Measures, which became effective on February 15, 2022. As of the date of this prospectus, neither we nor our subsidiaries have been involved in any investigations on cybersecurity review initiated by any PRC regulatory authority, nor has any of them received any inquiry, notice, or sanction related to cybersecurity review under the Cybersecurity Review Measures. The CAC published the draft Regulations on the Network Data Security Administration (Draft for Comments) (the “</w:t>
      </w:r>
      <w:r>
        <w:rPr>
          <w:rFonts w:ascii="Times New Roman" w:cs="Times New Roman" w:eastAsia="Times New Roman" w:hAnsi="Times New Roman"/>
          <w:sz w:val="18"/>
          <w:szCs w:val="18"/>
          <w:b w:val="1"/>
          <w:bCs w:val="1"/>
          <w:color w:val="auto"/>
        </w:rPr>
        <w:t>Security Administration</w:t>
      </w:r>
      <w:r>
        <w:rPr>
          <w:rFonts w:ascii="Times New Roman" w:cs="Times New Roman" w:eastAsia="Times New Roman" w:hAnsi="Times New Roman"/>
          <w:sz w:val="18"/>
          <w:szCs w:val="18"/>
          <w:color w:val="auto"/>
        </w:rPr>
        <w:t>”), was published by the State Council on September 24, 2024 and became effective on January 1, 2025. The Security Administration provides that data processing operators engaging in data processing activities that affect or may affect national security must be subject to network data security review by the relevant Cyberspace Administration of the PRC. According to the Security Administration, data processing operators who possess personal data of at least one million users or collect data that affects or may affect national security must be subject to network data security review by the relevant Cyberspace Administration of the PRC. As confirmed by our PRC counsel, Sino Pro Law Firm, we are not subject to cybersecurity review by the CAC under the Cybersecurity Review Measures, nor are we subject to network data security review if the Security Administration are enacted as proposed, since Haoxi Beijing’s business does not involve processing users’ personal information and it is not deemed as a critical information infrastructure operator (“</w:t>
      </w:r>
      <w:r>
        <w:rPr>
          <w:rFonts w:ascii="Times New Roman" w:cs="Times New Roman" w:eastAsia="Times New Roman" w:hAnsi="Times New Roman"/>
          <w:sz w:val="18"/>
          <w:szCs w:val="18"/>
          <w:b w:val="1"/>
          <w:bCs w:val="1"/>
          <w:color w:val="auto"/>
        </w:rPr>
        <w:t>CIIO</w:t>
      </w:r>
      <w:r>
        <w:rPr>
          <w:rFonts w:ascii="Times New Roman" w:cs="Times New Roman" w:eastAsia="Times New Roman" w:hAnsi="Times New Roman"/>
          <w:sz w:val="18"/>
          <w:szCs w:val="18"/>
          <w:color w:val="auto"/>
        </w:rPr>
        <w:t>”), nor is it an online platform operator with personal information of more than one million users. See “Item 3. Key Information—D.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2024 Annual Report.</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(the “</w:t>
      </w:r>
      <w:r>
        <w:rPr>
          <w:rFonts w:ascii="Times New Roman" w:cs="Times New Roman" w:eastAsia="Times New Roman" w:hAnsi="Times New Roman"/>
          <w:sz w:val="18"/>
          <w:szCs w:val="18"/>
          <w:b w:val="1"/>
          <w:bCs w:val="1"/>
          <w:color w:val="auto"/>
        </w:rPr>
        <w:t>CSRC</w:t>
      </w:r>
      <w:r>
        <w:rPr>
          <w:rFonts w:ascii="Times New Roman" w:cs="Times New Roman" w:eastAsia="Times New Roman" w:hAnsi="Times New Roman"/>
          <w:sz w:val="18"/>
          <w:szCs w:val="18"/>
          <w:color w:val="auto"/>
        </w:rPr>
        <w:t>”), released the Trial Administrative Measures of the Overseas Securities Offering and Listing by Domestic Companies and five ancillary interpretive guidelines, or collectively,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On the same day, the CSRC also held a press conference for the release of the Overseas Listing Trial Measures and issued the Notice on Administration for the Filing of Overseas Offering and Listing by Domestic Companies, which clarifies that on or prior to the effective date of the Overseas Listing Trial Measures, domestic companies that have already submitted valid applications for overseas offering and listing but have not obtained clearance from overseas regulatory authorities or stock exchanges may reasonably arrange the timing for submitting their filing applications with the CSRC, and must complete the filing before the completion of their overseas offering and listing. The required filing scope is not limited to the initial public offering, but also includes any subsequent overseas securities offering, single or multiple acquisition(s), share swap, transfer of shares or other means to seek an overseas direct or indirect listing and a secondary listing or dual major listing of issuers already listed overseas. As advised by our PRC counsel, Sino Pro Law Firm, since the operating entity accounted for more than 50% of our consolidated revenues, profit, total assets or net assets for the fiscal years ended June 30, 2023 and 2022, and the key components of our operations are carried out in China, an offering pursuant to any accompanying prospectus supplement is considered an indirect offering by China-based companies, and we are, therefore, subject to the Overseas Listing Trial Measures for filing procedures with the CSRC in connection with the offering pursuant to any accompanying prospectus supplement and are required to file with the CSRC within three working days after the completion of an offering pursuant to any accompanying prospectus supplement. We will submit our filing application to the CSRC within three working days after the completion of the offering pursuant to any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on February 24, 2023, the CSRC and other relevant government authorities promulgated the Provisions on Strengthening the Confidentiality and Archives Administration of Overseas Securities Issuance and Listing by Domestic Enterprises which were issued in 2009, or the Provision on Confidentiality. The Provision on Confidentiality became effective on March 31, 2023. Pursuant to the Provision on Confidentiality, where a domestic enterprise provides or publicly discloses documents and materials involving state secrets and working secrets of state organs to the relevant securities companies, securities service institutions, overseas regulatory authorities and other entities and individuals, or provides or publicly discloses such information through its overseas listing subjects, it shall report to the competent department with the examination and approval authority for approval in accordance with the law, and submit to the secrecy administration department of the same level for filing. Domestic enterprises providing accounting archives or copies thereof to entities and individuals concerned such as securities companies, securities service institutions and overseas regulatory authorities shall complete the corresponding procedures pursuant to the relevant provisions of the State. We believe that the offering pursuant to any accompanying prospectus supplement will not involve the leaking of any state secret or working secret of government agencies, or the harming of national security and public interests. However, we may be required to perform additional procedures in connection with the provision of accounting archives.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Haoxi Beijing’s daily business operation, the ability to accept foreign investments and listing on U.S. exchanges. We cannot assure you that we will be able to fully comply with such rules, to conduct the offering pursuant to any accompanying prospectus supplement, or to maintain the listing status of our securities, or to conduct any overseas securities offerings in the future. For details of the associated risks, see “Risk Factors—Risks Related to Doing Business in China—The CSRC has promulgated Overseas Listing Trial Measures on February 17, 2023. The offering pursuant to any accompanying prospectus supplement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w:t>
      </w:r>
    </w:p>
    <w:p>
      <w:pPr>
        <w:spacing w:after="0" w:line="188"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Except for the filing procedures with the CSRC and reporting of relevant information according to the Overseas Listing Trial Measures, as of the date of this prospectus, we are not required to obtain any other permission from any other PRC governmental authorities to offer securities to foreign investors. As of the date of this prospectus, neither we nor our subsidiaries have received any inquiry, notice, warning, or sanction regarding our overseas listing from the CSRC or any other PRC governmental authorities. Since these statements and regulatory actions are newly published, however, official guidance and related implementation rules have not been issued. It is highly uncertain what the potential impact such modified or new laws and regulations will have on the daily business operations of our subsidiaries, our ability to accept foreign investments, and our listing on a U.S. exchange in the future. We cannot guarantee that new rules or regulations promulgated in the future will not impose any additional requirement on us, or the operating entity, or otherwise tightening the regulations on overseas listing of PRC domestic companies. If it is determined that the offering pursuant to any accompanying prospectus supplement is subject to any other governmental authorization or requirements, we cannot assure you we or the operating entity could obtain such approval or meet such requirements in a timely manner or at all. Such failure may subject us or the operating entity to fines, penalties or other sanctions which may have a material adverse effect on our business and financial conditions as well as its ability to complete the offering pursuant to any accompanying prospectus supplement. Although we endeavor to comply with all the applicable laws and regulations, if (i) the operating entity does not receive or maintain applicable permissions or approvals for our operation, and to offer the securities being registered to investors, or (ii) we inadvertently conclude that such permissions or approvals are not required, or applicable laws, regulations, or interpretations change and the operating entity is required to obtain permissions or approvals in the future, the operating entity’s business operation may be materially affected. There can be no assurance that we or the operating entity can obtain all requisite approvals without material disruption to the operating entity’s business. Therefore, any failure to obtain all requisite approvals may significantly limit or completely hinder our ability to offer or continue to offer securities to investors and could cause the value of such securities to significantly decline or be worthless. See “Risk Factors—Risks Related to Doing Business in China—The CSRC has promulgated Overseas Listing Trial Measures on February 17, 2023. The offering pursuant to any accompanying prospectus supplement will be determined to be an indirect overseas offering and is, therefore, subject to CSRC the filing procedures, which could significantly limit or completely hinder our ability to offer or continue to offer our Class A Ordinary Shares to investors and could cause the value of our Class A Ordinary Shares to significantly decline or become worthless” on page 7 of this prospectus, and “Item 3. Key Information—D. Risk Factors—Risks Related to Doing Business in China—Any requirement to obtain prior approval under the M&amp;A Rules and/or any other regulations promulgated by relevant PRC regulatory agencies in the future could limit or delay our offering and failure to obtain any such approvals, if required, could have a material adverse effect on our business, operating results and reputation, as well as the trading price of our Class A Ordinary Shares, and could also create uncertainties for our offering and affect our ability to offer or continue to offer securities to investors outside China” in our 2024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under the Holding Foreign Companies Accountable Act, or the HFCA Act, as amended by the Accelerating Holding Foreign Companies Accountable Act, if the Public Company Accounting Oversight Board (United States)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Wei, Wei &amp; Co., LLP, is not headquartered in mainland China or Hong Kong and was not identified in this report as a firm subject to the PCAOB’s determination. Our auditor, Wei, Wei &amp; Co.,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auditor’s registration with the PCAOB took effect in March 2006, and it is currently subject to PCAOB inspections, having its last inspection completed as of December 31, 2022. The PCAOB currently has access to inspect the working papers of our auditor.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August 26, 2022, the CSRC, the Ministry of Finance of the PRC (the “</w:t>
      </w:r>
      <w:r>
        <w:rPr>
          <w:rFonts w:ascii="Times New Roman" w:cs="Times New Roman" w:eastAsia="Times New Roman" w:hAnsi="Times New Roman"/>
          <w:sz w:val="18"/>
          <w:szCs w:val="18"/>
          <w:b w:val="1"/>
          <w:bCs w:val="1"/>
          <w:color w:val="auto"/>
        </w:rPr>
        <w:t>MOF</w:t>
      </w:r>
      <w:r>
        <w:rPr>
          <w:rFonts w:ascii="Times New Roman" w:cs="Times New Roman" w:eastAsia="Times New Roman" w:hAnsi="Times New Roman"/>
          <w:sz w:val="18"/>
          <w:szCs w:val="18"/>
          <w:color w:val="auto"/>
        </w:rPr>
        <w:t>”), and the PCAOB signed a Statement of Protocol (the “</w:t>
      </w:r>
      <w:r>
        <w:rPr>
          <w:rFonts w:ascii="Times New Roman" w:cs="Times New Roman" w:eastAsia="Times New Roman" w:hAnsi="Times New Roman"/>
          <w:sz w:val="18"/>
          <w:szCs w:val="18"/>
          <w:b w:val="1"/>
          <w:bCs w:val="1"/>
          <w:color w:val="auto"/>
        </w:rPr>
        <w:t>Protocol</w:t>
      </w:r>
      <w:r>
        <w:rPr>
          <w:rFonts w:ascii="Times New Roman" w:cs="Times New Roman" w:eastAsia="Times New Roman" w:hAnsi="Times New Roman"/>
          <w:sz w:val="18"/>
          <w:szCs w:val="18"/>
          <w:color w:val="auto"/>
        </w:rPr>
        <w:t>”),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On December 29, 2022, President Biden signed into law the Accelerating Holding Foreign Companies Accountable Act as a part of the legislation entitled “Consolidated Appropriations Act, 2023” (the “</w:t>
      </w:r>
      <w:r>
        <w:rPr>
          <w:rFonts w:ascii="Times New Roman" w:cs="Times New Roman" w:eastAsia="Times New Roman" w:hAnsi="Times New Roman"/>
          <w:sz w:val="18"/>
          <w:szCs w:val="18"/>
          <w:b w:val="1"/>
          <w:bCs w:val="1"/>
          <w:color w:val="auto"/>
        </w:rPr>
        <w:t>Consolidated Appropriations Act</w:t>
      </w:r>
      <w:r>
        <w:rPr>
          <w:rFonts w:ascii="Times New Roman" w:cs="Times New Roman" w:eastAsia="Times New Roman" w:hAnsi="Times New Roman"/>
          <w:sz w:val="18"/>
          <w:szCs w:val="18"/>
          <w:color w:val="auto"/>
        </w:rPr>
        <w: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spacing w:after="0" w:line="2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See “Item 3. Key Information—D. Risk Factors—Risks Related to Doing Business in China—Recent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in our 2024 Annual Report.</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As of the date of this prospectus,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“Prospectus Summary—Dividend Distributions, Cash Transfer, and Tax Consequences,” our audited consolidated financial statements for the fiscal years ended June 30, 2022, 2023 and 2024 included in the 2024 Annual Report, and our unaudited condensed consolidated financial statements for the six months ended December 31, 2024 furnished in the Form 6K filed with the SEC on April 14, 2025. 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2024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offerings to make loans or additional capital contributions to Haoxi Beijing, which could materially and adversely affect our liquidity and our ability to fund and expand our business” in our 2024 Annual Report. 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Information Limited (“</w:t>
      </w:r>
      <w:r>
        <w:rPr>
          <w:rFonts w:ascii="Times New Roman" w:cs="Times New Roman" w:eastAsia="Times New Roman" w:hAnsi="Times New Roman"/>
          <w:sz w:val="18"/>
          <w:szCs w:val="18"/>
          <w:b w:val="1"/>
          <w:bCs w:val="1"/>
          <w:color w:val="auto"/>
        </w:rPr>
        <w:t>Haoxi HK</w:t>
      </w:r>
      <w:r>
        <w:rPr>
          <w:rFonts w:ascii="Times New Roman" w:cs="Times New Roman" w:eastAsia="Times New Roman" w:hAnsi="Times New Roman"/>
          <w:sz w:val="18"/>
          <w:szCs w:val="18"/>
          <w:color w:val="auto"/>
        </w:rPr>
        <w:t>”), and then Haoxi HK transferred $300,000 to Beijing Haoxi Health Technology Co., Limited (the “</w:t>
      </w:r>
      <w:r>
        <w:rPr>
          <w:rFonts w:ascii="Times New Roman" w:cs="Times New Roman" w:eastAsia="Times New Roman" w:hAnsi="Times New Roman"/>
          <w:sz w:val="18"/>
          <w:szCs w:val="18"/>
          <w:b w:val="1"/>
          <w:bCs w:val="1"/>
          <w:color w:val="auto"/>
        </w:rPr>
        <w:t>WFOE</w:t>
      </w:r>
      <w:r>
        <w:rPr>
          <w:rFonts w:ascii="Times New Roman" w:cs="Times New Roman" w:eastAsia="Times New Roman" w:hAnsi="Times New Roman"/>
          <w:sz w:val="18"/>
          <w:szCs w:val="18"/>
          <w:color w:val="auto"/>
        </w:rPr>
        <w:t>”). In May 2024, the Company transferred $950,000 to Haoxi HK. In October 2024, the Company transferred $2,000,000 to Haoxi HK.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will be subject to reduced public company reporting requirements. For more detailed discussion, see “Prospectus Summary—Implications of Our Being an “Emerging Growth Company” and “Item 3. Key Information—D. Risk Factors—Risks Relating to the Class A Ordinary Shares and the Trading Market—We are an “emerging growth company” within the meaning of the Securities Act, and if we take advantage of certain exemptions from disclosure requirements available to emerging growth companies, this will make it more difficult to compare our performance with other public companies” and “Because we are an “emerging growth company,” we may not be subject to requirements that other public companies are subject to, which could affect investor confidence in us and our Class A Ordinary Shares” in our 2024 Annual Report.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spacing w:after="0" w:line="17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6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1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61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Regarding Forward-Looking Statements</w:t>
            </w:r>
          </w:p>
        </w:tc>
        <w:tc>
          <w:tcPr>
            <w:tcW w:w="614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260" w:type="dxa"/>
            <w:vAlign w:val="bottom"/>
            <w:gridSpan w:val="2"/>
            <w:shd w:val="clear" w:color="auto" w:fill="CCEEFF"/>
          </w:tcPr>
          <w:p>
            <w:pPr>
              <w:jc w:val="center"/>
              <w:ind w:left="60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260" w:type="dxa"/>
            <w:vAlign w:val="bottom"/>
            <w:gridSpan w:val="2"/>
            <w:shd w:val="clear" w:color="auto" w:fill="CCEEFF"/>
          </w:tcPr>
          <w:p>
            <w:pPr>
              <w:jc w:val="center"/>
              <w:ind w:left="60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7260" w:type="dxa"/>
            <w:vAlign w:val="bottom"/>
            <w:gridSpan w:val="2"/>
            <w:shd w:val="clear" w:color="auto" w:fill="CCEEFF"/>
          </w:tcPr>
          <w:p>
            <w:pPr>
              <w:jc w:val="center"/>
              <w:ind w:left="6050"/>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260" w:type="dxa"/>
            <w:vAlign w:val="bottom"/>
            <w:gridSpan w:val="2"/>
            <w:shd w:val="clear" w:color="auto" w:fill="CCEEFF"/>
          </w:tcPr>
          <w:p>
            <w:pPr>
              <w:jc w:val="center"/>
              <w:ind w:left="60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3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7260" w:type="dxa"/>
            <w:vAlign w:val="bottom"/>
            <w:gridSpan w:val="2"/>
            <w:shd w:val="clear" w:color="auto" w:fill="CCEEFF"/>
          </w:tcPr>
          <w:p>
            <w:pPr>
              <w:jc w:val="center"/>
              <w:ind w:left="603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sell Class A Ordinary Shares, warrants, units and rights to purchase Class A Ordinary Shares or, debt securities or any combination of the foregoing, either individually or as units comprised of one or more of the other securities, in one or more offerings up to a total dollar amount of $80,000,000. We have provided to you in this prospectus a general description of the securities we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not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404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to:</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the “PRC” are to the People’s Republic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Class A ordinary shares of Haoxi Health Technology Limited, par value $0.0025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Class B ordinary shares of Haoxi Health Technology Limited, par value $0.0025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“Haoxi Beijing” or “the operating entity” refers to Beijing Haoxi Digital Technology Co., Ltd., formerly known as Beijing Haoxi Culture Media Co., Ltd. prior to September 4, 2020, a limited liability company organized under PRC laws and regulations, which company is wholly owned by WFOE;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“Haoxi Cayman,” “our Company,” the “Company,” “we,” “us,” and “our” refer to Haoxi Health Technology Limited, an exempted company limited by shares incorporated under the laws of the Cayman Islands;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“Haoxi HK” refers to Haoxi Information Limited, a Hong Kong corporation and wholly owned subsidiary of Haoxi Cayman;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or “RMB” are to the legal currency of China;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are to the U.S. Securities and Exchange Commission;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 and “dollars” are to the legal currency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refers to Beijing Haoxi Health Technology Co., Limited, a limited liability company organized under the laws and regulations of the People’s Republic of China (the “PRC”), which company is wholly owned by Haoxi HK;</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Haoxi Cayman is a Cayman holding company. Our business is conducted by our subsidiary, Haoxi Beijing, in China using RMB. Our consolidated financial statements are presented in U.S. dollars. In this prospectus, we refer to assets, obligations, commitments, and liabilities in our consolidated financial statements in U.S. dollars. These dollar references are based on the exchange rate of RMB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center"/>
        <w:ind w:right="-7"/>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573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PROSPECTUS SUMMARY</w:t>
      </w:r>
    </w:p>
    <w:p>
      <w:pPr>
        <w:spacing w:after="0" w:line="227" w:lineRule="exact"/>
        <w:rPr>
          <w:sz w:val="20"/>
          <w:szCs w:val="20"/>
          <w:color w:val="auto"/>
        </w:rPr>
      </w:pPr>
    </w:p>
    <w:p>
      <w:pPr>
        <w:jc w:val="both"/>
        <w:ind w:left="8"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included elsewhere in this prospectus. In addition to this summary, we urge you to read the entire prospectus carefully, especially the risks of investing in our Class A Ordinary Shares, discussed under “Risk Factors,” before deciding whether to buy our Class A Ordinary Shares.</w:t>
      </w:r>
    </w:p>
    <w:p>
      <w:pPr>
        <w:spacing w:after="0" w:line="1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p>
      <w:pPr>
        <w:spacing w:after="0" w:line="229" w:lineRule="exact"/>
        <w:rPr>
          <w:sz w:val="20"/>
          <w:szCs w:val="20"/>
          <w:color w:val="auto"/>
        </w:rPr>
      </w:pPr>
    </w:p>
    <w:p>
      <w:pPr>
        <w:jc w:val="both"/>
        <w:ind w:left="8" w:firstLine="324"/>
        <w:spacing w:after="0" w:line="256" w:lineRule="auto"/>
        <w:rPr>
          <w:sz w:val="20"/>
          <w:szCs w:val="20"/>
          <w:color w:val="auto"/>
        </w:rPr>
      </w:pPr>
      <w:r>
        <w:rPr>
          <w:rFonts w:ascii="Times New Roman" w:cs="Times New Roman" w:eastAsia="Times New Roman" w:hAnsi="Times New Roman"/>
          <w:sz w:val="18"/>
          <w:szCs w:val="18"/>
          <w:color w:val="auto"/>
        </w:rPr>
        <w:t>We are an offshore holding company incorporated in the Cayman Islands as an exempted company limited by shares. Exempted companies are Cayman Island companies conducting business mainly outside the Cayman Islands and, as such, are exempted from complying with certain provisions of the Companies Act (as Revised) of the Cayman Islands (the “</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As a holding company with no material operations of our own, our operations are conducted in China through our wholly owned indirect PRC subsidiary, Haoxi Beijing. This is an offering of securities of the offshore holding company in the Cayman Islands, instead of securities of the operating entity in China. Therefore, you will not directly hold any equity interests in the operating entity.</w:t>
      </w:r>
    </w:p>
    <w:p>
      <w:pPr>
        <w:spacing w:after="0" w:line="187"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corporate structure as of the date of this prospectus. For more details on our corporate history, please refer to “Corporate History and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328" w:right="2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percentages reflect the voting ownership interests instead of the equity interests held by each of our shareholders, given that each Class B Ordinary Share will be entitled to 10 votes and each Class A Ordinary Share will be entitled to one vote.</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464,400 Class A Ordinary Shares held by three individual shareholders, Lei Xu, Hongli Wu, and Tao Zhao. Each one of them holds less than 5% of our voting ownership interests, as of the date of this prospectus.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approximately 294,400,00 Class A Ordinary Shares held by public shareholders.</w:t>
      </w:r>
    </w:p>
    <w:p>
      <w:pPr>
        <w:spacing w:after="0" w:line="200" w:lineRule="exact"/>
        <w:rPr>
          <w:sz w:val="20"/>
          <w:szCs w:val="20"/>
          <w:color w:val="auto"/>
        </w:rPr>
      </w:pPr>
    </w:p>
    <w:p>
      <w:pPr>
        <w:spacing w:after="0" w:line="2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927" w:right="45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516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Currently, we directly hold 100% equity interests in our subsidiaries, and we do not currently use a variable interest entity (“VIE”) structure.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business operations of Haoxi Beijing in China, which could cause the value of our securities to significantly decline or become worthless. Applicable PRC laws and regulations governing such current business operations are sometimes vague and uncertain, and as a result these risks may result in material changes in the operations of Haoxi Beijing, significant depreciation or a complete loss of the value of our Class A Ordinary Shares, or a complete hindrance of our ability to offer, or continue to offer, our securities to investors.</w:t>
      </w:r>
    </w:p>
    <w:p>
      <w:pPr>
        <w:spacing w:after="0" w:line="18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addition, our Class A Ordinary Shares may be prohibited from trading on a national exchange under the HFCA Act, as amended by the Accelerating Holding Foreign Companies Accountable Act, if the PCAOB is unable to inspect our auditors for two consecutive years. On December 16, 2021, the PCAOB issued a report on its determinations that it was unable to inspect or investigate completely PCAOB-registered public accounting firms headquartered in mainland China and in Hong Kong, a Special Administrative Region of the PRC, because of positions taken by PRC authorities in those jurisdictions. Our auditor, Wei, Wei &amp; Co., LLP, is not headquartered in mainland China or Hong Kong and was not identified in this report as a firm subject to the PCAOB’s determination. Our auditor, Wei, Wei &amp; Co., LLP,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auditor’s registration with the PCAOB took effect in March 2006, and it is currently subject to PCAOB inspections, having its last inspection completed as of December 31, 2022. The PCAOB currently has access to inspect the working papers of our auditor. If trading in our Class A Ordinary Shares is prohibited under the HFCA Act in the future because the PCAOB determines that it cannot inspect or fully investigate our auditor at such future time, Nasdaq may determine to delist our Class A Ordinary Shares and trading in our Class A Ordinary Shares could be prohibited. On August 26, 2022, the CSRC, the MOF, and the PCAOB signed the Protocol, governing inspections and investigations of accounting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Board will consider the need to issue a new determination. On December 29, 2022, President Biden signed into law the Accelerating Holding Foreign Companies Accountable Act as a part of the Consolidated Appropriations Act, amending the HFCA Act and requiring the SEC to prohibit an issuer’s securities from trading on any U.S. stock exchange if its auditor is not subject to PCAOB inspections for two consecutive years instead of three consecutive years.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 Act, if needed.</w:t>
      </w:r>
    </w:p>
    <w:p>
      <w:pPr>
        <w:spacing w:after="0" w:line="2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See “Item 3. Key Information—D. Risk Factors—Risks Relating to Doing Business in the PRC—Recent joint statement by the SEC and the PCAOB, rule changes by Nasdaq, and the HFCA Act all call for additional and more stringent criteria to be applied to emerging market companies upon assessing the qualification of their auditors, especially the non-U.S. auditors who are not inspected by the PCAOB. These developments could add uncertainties to our continued listing or future offerings of our securities in the U.S.” in our 2024 Annual Report.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833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27875" cy="5833110"/>
                    </a:xfrm>
                    <a:prstGeom prst="rect">
                      <a:avLst/>
                    </a:prstGeom>
                    <a:noFill/>
                  </pic:spPr>
                </pic:pic>
              </a:graphicData>
            </a:graphic>
          </wp:anchor>
        </w:drawing>
        <w:t>Overview</w:t>
      </w:r>
    </w:p>
    <w:p>
      <w:pPr>
        <w:spacing w:after="0" w:line="229" w:lineRule="exact"/>
        <w:rPr>
          <w:sz w:val="20"/>
          <w:szCs w:val="20"/>
          <w:color w:val="auto"/>
        </w:rPr>
      </w:pPr>
    </w:p>
    <w:p>
      <w:pPr>
        <w:jc w:val="both"/>
        <w:ind w:left="20" w:firstLine="324"/>
        <w:spacing w:after="0" w:line="255" w:lineRule="auto"/>
        <w:rPr>
          <w:sz w:val="20"/>
          <w:szCs w:val="20"/>
          <w:color w:val="auto"/>
        </w:rPr>
      </w:pPr>
      <w:r>
        <w:rPr>
          <w:rFonts w:ascii="Times New Roman" w:cs="Times New Roman" w:eastAsia="Times New Roman" w:hAnsi="Times New Roman"/>
          <w:sz w:val="18"/>
          <w:szCs w:val="18"/>
          <w:color w:val="auto"/>
        </w:rPr>
        <w:t>Beijing Haoxi, the operating entity, is an online marketing solution provider in China, with an advertiser client base mainly in the healthcare industry. The growth of the operating entity in recent years has benefited from the quick increase of news feed ads, its major form of ad placement, in the industry of online marketing in China. In addition, the healthcare industry in China has developed rapidly because of the growth both in the average income and the aging population, which provide a conducive environment for the development of the operating entity’s business. The operating entity has a management team with several years of experience in marketing for healthcare companies. Its own data analysis software “Bidding Compass” has helped it obtain a large volume of ad placement data. Moreover, it has developed a stable placement history with mainstream online advertising platforms in China and has been working closely with them since its establishment in 2018.</w:t>
      </w:r>
    </w:p>
    <w:p>
      <w:pPr>
        <w:spacing w:after="0" w:line="189" w:lineRule="exact"/>
        <w:rPr>
          <w:sz w:val="20"/>
          <w:szCs w:val="20"/>
          <w:color w:val="auto"/>
        </w:rPr>
      </w:pPr>
    </w:p>
    <w:p>
      <w:pPr>
        <w:jc w:val="both"/>
        <w:ind w:left="20" w:firstLine="324"/>
        <w:spacing w:after="0" w:line="253" w:lineRule="auto"/>
        <w:rPr>
          <w:sz w:val="20"/>
          <w:szCs w:val="20"/>
          <w:color w:val="auto"/>
        </w:rPr>
      </w:pPr>
      <w:r>
        <w:rPr>
          <w:rFonts w:ascii="Times New Roman" w:cs="Times New Roman" w:eastAsia="Times New Roman" w:hAnsi="Times New Roman"/>
          <w:sz w:val="18"/>
          <w:szCs w:val="18"/>
          <w:color w:val="auto"/>
        </w:rPr>
        <w:t>The operating entity mainly generates its revenue by providing one-stop online marketing solutions, in particular, it provides online short video ads for advertiser customers through its media partners. Media partners include both media platforms (such as Toutiao and Douyin), as well as authorized third-party agents of media platforms, through which the operating entity places ads for its advertiser customers when it has no direct contact with the platform. The operating entity procures ad slots from the media partners (which it regards as its suppliers) to place ads for its advertiser customers. The operating entity provides customized marketing solutions by planning, producing, placing, and optimizing online ads, especially online short video ads, to help its advertisers acquire, convert, and retain ultimate consumers on various online media platforms. The operating entity has served approximately 2,000 advertisers since its incorporation in 2018, the majority of which are healthcare companies. During the six months ended December 31, 2024, it served 389 advertisers, of which 345 were healthcare companies. During the fiscal years ended June 30, 2024, 2023 and 2022, it served 543, 393 and 243 advertisers, respectively, of which 471, 341 and 128 were healthcare companies, respectively. The operating entity primarily places its ads through mainstream online short video platforms and social media platforms in China, such as Toutiao, Douyin, WeChat, and Weibo. The operating entity is dedicated to reducing costs and increasing efficiency for its advertisers and offering them easy online marketing solutions.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some KPIs of the operating entity’s online marketing solutions for the periods indicated below.</w:t>
      </w:r>
    </w:p>
    <w:p>
      <w:pPr>
        <w:spacing w:after="0" w:line="22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Impressions (millions)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1551.22</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2229.07</w:t>
            </w: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Click-throughs (millions)</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31.09</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51.65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54.43</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Conversions (thousands)</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441.44</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800.39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931.39</w:t>
            </w: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Click-throughs Rate (%)</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Rate (%)</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bl>
    <w:p>
      <w:pPr>
        <w:spacing w:after="0" w:line="198" w:lineRule="exact"/>
        <w:rPr>
          <w:sz w:val="20"/>
          <w:szCs w:val="20"/>
          <w:color w:val="auto"/>
        </w:rPr>
      </w:pPr>
    </w:p>
    <w:p>
      <w:pPr>
        <w:jc w:val="both"/>
        <w:ind w:left="340" w:right="20" w:hanging="328"/>
        <w:spacing w:after="0" w:line="258"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Impression refers to the number of page views of an ad, which are counted and judged as “valid” by media platforms’ backend system and charged by media platforms. A media platforms’ backend system instantly checks if a page view is valid when an ad is displayed. Invalid page views include fraudulent page views or a large amount of page views in a short period of time on the same ad by an identical user account, of which the duplicate views will not be counted towards the number of impressions. Page views that are not identified as “invalid” are considered as valid by media platform’s backend system.</w:t>
      </w:r>
    </w:p>
    <w:p>
      <w:pPr>
        <w:spacing w:after="0" w:line="183" w:lineRule="exact"/>
        <w:rPr>
          <w:rFonts w:ascii="Times New Roman" w:cs="Times New Roman" w:eastAsia="Times New Roman" w:hAnsi="Times New Roman"/>
          <w:sz w:val="18"/>
          <w:szCs w:val="18"/>
          <w:color w:val="auto"/>
        </w:rPr>
      </w:pPr>
    </w:p>
    <w:p>
      <w:pPr>
        <w:ind w:left="340" w:hanging="328"/>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Internet user clicks on an ad, a click incident is triggered, and this incident is considered a click-through.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927" w:right="459" w:bottom="1440" w:gutter="0" w:footer="0" w:header="0"/>
        </w:sectPr>
      </w:pPr>
    </w:p>
    <w:bookmarkStart w:id="38" w:name="page39"/>
    <w:bookmarkEnd w:id="38"/>
    <w:p>
      <w:pPr>
        <w:ind w:left="328" w:right="20" w:hanging="328"/>
        <w:spacing w:after="0" w:line="282"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2020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When an Internet user submits a survey, sheet or other interactive forms contained in the advertisement with the user’s contact information after the click-through, a submission incident is triggered, and this incident is considered a conversion.</w:t>
      </w:r>
    </w:p>
    <w:p>
      <w:pPr>
        <w:spacing w:after="0" w:line="161" w:lineRule="exact"/>
        <w:rPr>
          <w:rFonts w:ascii="Times New Roman" w:cs="Times New Roman" w:eastAsia="Times New Roman" w:hAnsi="Times New Roman"/>
          <w:sz w:val="18"/>
          <w:szCs w:val="18"/>
          <w:color w:val="auto"/>
        </w:rPr>
      </w:pPr>
    </w:p>
    <w:p>
      <w:pPr>
        <w:jc w:val="both"/>
        <w:ind w:left="328" w:right="20" w:hanging="328"/>
        <w:spacing w:after="0" w:line="261"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CTR is calculated by dividing the total number of clicks-throughs by the total number of impressions. CTR provides useful information on monitoring the effect and quality of ad placement, the attractiveness of ads to Internet users, the creativeness of ads, and the accuracy of selecting the placement target audience. Management of the operating entity uses CTR to monitor the intermediate effect and quality of ad placement. CTR also enables the operating entity’s management to adjust placement plan and content design of an ad.</w:t>
      </w:r>
    </w:p>
    <w:p>
      <w:pPr>
        <w:spacing w:after="0" w:line="179" w:lineRule="exact"/>
        <w:rPr>
          <w:rFonts w:ascii="Times New Roman" w:cs="Times New Roman" w:eastAsia="Times New Roman" w:hAnsi="Times New Roman"/>
          <w:sz w:val="18"/>
          <w:szCs w:val="18"/>
          <w:color w:val="auto"/>
        </w:rPr>
      </w:pPr>
    </w:p>
    <w:p>
      <w:pPr>
        <w:jc w:val="both"/>
        <w:ind w:left="328" w:right="20" w:hanging="328"/>
        <w:spacing w:after="0" w:line="258" w:lineRule="auto"/>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 is calculated by dividing the total number of conversions by the number of click-throughs. CVR provides useful information on monitoring the effect and quality of ad placement, the effect and quality of the interactive form included in an ad, the attractiveness of the interactive form to Internet users, and the accuracy of selecting the placement target audience. Management of the operating entity uses CVR to monitor the final and overall effect and quality of ad placement and interactive forms. CVR also enables the operating entity’s management to adjust the placement plan and content design of an ad.</w:t>
      </w:r>
    </w:p>
    <w:p>
      <w:pPr>
        <w:spacing w:after="0" w:line="183"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2024, we had revenue of $ 23,954,998 and net loss of $232,533. For the fiscal years ended June 30, 2024, 2023 and 2022, we had revenue of $48.52million, $28.23 million and $16.16 million, respectively, and net income of $1,291,667, $969,752 and $244,587, respectively.</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Dividend Distributions, Cash Transfer, and Tax Consequences</w:t>
      </w:r>
    </w:p>
    <w:p>
      <w:pPr>
        <w:spacing w:after="0" w:line="229" w:lineRule="exact"/>
        <w:rPr>
          <w:sz w:val="20"/>
          <w:szCs w:val="20"/>
          <w:color w:val="auto"/>
        </w:rPr>
      </w:pPr>
    </w:p>
    <w:p>
      <w:pPr>
        <w:jc w:val="both"/>
        <w:ind w:left="8" w:firstLine="324"/>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none of our subsidiaries have made any dividends or distributions to our Company and our Company has not made any dividends or distributions to our shareholders. We intend to keep any future earnings to finance the expansion of our business, and we do not anticipate that any cash dividends will be paid in the foreseeable future. If we determine to pay dividends on any of our Class A Ordinary Shares in the future, as a holding company, we will be dependent on receipt of funds from our PRC subsidiary, Haoxi Beijing. For more detailed discussion of how cash and other assets are transferred among our Company and our subsidiaries, see our audited consolidated financial statements (“CFS”) as of and for the fiscal years ended June 30, 2024 and 2023 included in “Item 18. Financial Statements” in our 2024 Annual Report and the unaudited CFS as of and for the six months ended December 31, 2024 and 2023 included in Exhibit 99.1 to the Form 6-K furnished by the Company on April 23, 2025.</w:t>
      </w:r>
    </w:p>
    <w:p>
      <w:pPr>
        <w:spacing w:after="0" w:line="189" w:lineRule="exact"/>
        <w:rPr>
          <w:sz w:val="20"/>
          <w:szCs w:val="20"/>
          <w:color w:val="auto"/>
        </w:rPr>
      </w:pPr>
    </w:p>
    <w:p>
      <w:pPr>
        <w:jc w:val="both"/>
        <w:ind w:left="8" w:firstLine="324"/>
        <w:spacing w:after="0" w:line="252" w:lineRule="auto"/>
        <w:rPr>
          <w:sz w:val="20"/>
          <w:szCs w:val="20"/>
          <w:color w:val="auto"/>
        </w:rPr>
      </w:pPr>
      <w:r>
        <w:rPr>
          <w:rFonts w:ascii="Times New Roman" w:cs="Times New Roman" w:eastAsia="Times New Roman" w:hAnsi="Times New Roman"/>
          <w:sz w:val="18"/>
          <w:szCs w:val="18"/>
          <w:color w:val="auto"/>
        </w:rPr>
        <w:t>To the extent cash in the business is in the PRC, such funds may not be available to fund operations or for other use outside of the PRC, due to interventions of, or the imposition of restrictions and limitations on, the ability of our Company and Haoxi Beijing by the PRC government to transfer cash. See “Item 3. Key Information—D. Risk Factors—Risks Related to Doing Business in China—To the extent cash or assets of our business, or of Haoxi Beijing, is in the PRC, such cash or assets may not be available to fund operations or for other use outside of the PRC, due to interventions of, or the imposition of restrictions and limitations by, the PRC government to the transfer of cash or assets.” in our 2024 Annual Report. PRC regulations currently permit Haoxi Beijing to pay dividends only out of its accumulated profits, if any, as determined in accordance with PRC accounting standards and regulations. In addition, if Haoxi Beijing distributes its after-tax profits for the current financial year, it is required to set aside, at a minimum, 10% of its net income, if any, to fund a statutory surplus reserve until the cumulative amount of such reserve reaches 50% of its registered capital, and such reserve may not be distributed as cash dividends. PRC laws and regulations allow us to provide funding to Haoxi Beijing only through loans or capital contributions, subject to the filing or approval of government authorities and limits on the amount of capital contributions and loans. As a result, in the event that Haoxi Beijing incurs debt on its own behalf in the future, the instruments governing the debt may restrict any such entity’s ability to pay dividends or make other distributions to us. See “Item 3. Key Information—D. Risk Factors—Risks Related to Doing Business in China—PRC regulations of loans to, and direct investment in, PRC entities by offshore holding companies, and governmental control of currency conversion may limit our ability to use the proceeds of offshore offering to make loans or additional capital contributions to Haoxi Beijing, which could materially and adversely affect our liquidity and our ability to fund and expand our business.” in our 2024 Annual Report.</w:t>
      </w: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931" w:right="459" w:bottom="1440" w:gutter="0" w:footer="0" w:header="0"/>
        </w:sectPr>
      </w:pPr>
    </w:p>
    <w:bookmarkStart w:id="39" w:name="page40"/>
    <w:bookmarkEnd w:id="3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50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Our finance department supervises cash management, following the instructions of our management. Our finance department is responsible for establishing our cash operation plan and coordinating cash management matters among our subsidiaries and departments. Each subsidiary and department initiates a cash request by putting forward a cash demand plan, which explains the specific amount and timing of cash requested, and submits it to our finance department. The finance department reviews the cash demand plan and prepares a summary for the management of our Company. Management examines and approves the allocation of cash based on the sources of cash and the priorities of the needs. Other than the above, we currently do not have other cash management policies or procedures that dictate how funds are transferred. In April 2024, the Company transferred $350,000 to Haoxi HK, and then Haoxi HK transferred $300,000 to WFOE. In May 2024, the Company transferred $950,000 to Haoxi HK. In October 2024, the Company transferred $2,000,000 to Haoxi HK.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Our Being an “Emerging Growth Company”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larger public companies. In particular, as an emerging growth company, we:</w:t>
      </w:r>
    </w:p>
    <w:p>
      <w:pPr>
        <w:spacing w:after="0" w:line="176" w:lineRule="exact"/>
        <w:rPr>
          <w:sz w:val="20"/>
          <w:szCs w:val="20"/>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present only two years of audited financial statements and only two years of related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provide a detailed narrative disclosure discussing our compensation principles, objectives and elements and analyzing how those elements fit with our principles and objectives, which is commonly referred to as “compensation discussion and analysis”;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an attestation and report from our auditors on our management’s assessment of our internal control over financial reporting pursuant to the Sarbanes-Oxley Act of 2002;</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required to obtain a non-binding advisory vote from our shareholders on executive compensation or golden parachute arrangements (commonly referred to as the “say-on-pay,” “say-on frequency,” and “say-on-golden-parachute” votes);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exempt from certain executive compensation disclosure provisions requiring a pay-for-performance graph and chief executive officer pay ratio disclosure;</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eligible to claim longer phase-in periods for the adoption of new or revised financial accounting standards under §107 of the JOBS Act; and</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required to conduct an evaluation of our internal control over financial reporting until our second annual report on Form 20-F following the effectiveness of our initial public offering.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intend to take advantage of all of these reduced reporting requirements and exemptions, including the longer phase-in periods for the adoption of new or revised financial accounting standards under §107 of the JOBS Act. Our election to use the phase-in periods may make it difficult to compare our financial statements to those of non-emerging growth companies and other emerging growth companies that have opted out of the phase-in periods under §107 of the JOBS Act.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JOBS Act, we may take advantage of the above-described reduced reporting requirements and exemptions until we no longer meet the definition of an emerging growth company. The JOBS Act provides that we would cease to be an “emerging growth company” at the end of the fiscal year in which the fifth anniversary of our initial sale of common equity pursuant to a registration statement declared effective under the Securities Act of 1933, as amended (the “Securities Act”), occurred, if we have more than $1.235 billion in annual revenue, have more than $700 million in market value of our Class A Ordinary Shares held by non-affiliates, or issue more than $1 billion in principal amount of non-convertible debt over a three-year period.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31" w:right="4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 factors set forth under “Risk Factors” described in our 2024 Annual Report, as supplemented and updated by subsequent current reports on Form 6-K that we have filed with the SEC, together with all other information contained or incorporated by reference in this prospectus and any applicable prospectus supplement and in any related free writing prospectus in connection with a specific offering, before making an investment decision. Each of the risk factors could materially and adversely affect our business, operating results, financial condition and prospects, as well as the value of an investment in our securities, and the occurrence of any of these risks might cause you to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exerts substantial influence over the manner in which we conduct our business activities. The PRC government may also intervene or influence our operations and the offering pursuant to any accompanying prospectus supplement at any time, which could result in a material change in our operations and our Class A Ordinary Shares could decline in value or become worthless.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advised by our PRC counsel, Sino Pro Law Firm, except for the filing procedures with the CSRC and the reporting of relevant information according to the Overseas Listing Trial Measures, we are currently not required to obtain any other approval from any other Chinese authorities for the offering pursuant to any accompanying prospectus supplement, as of the date of this prospectus. However, if our Company or any of our PRC subsidiaries are required to obtain any other approvals in the future and are denied permission from Chinese authorities for the offering pursuant to any accompanying prospectus supplement, we may not be able to continue listing on U.S. exchanges, or continue to offer securities to investors, and it may materially affect the interest of the investors and cause significantly depreciation of our price of Class A Ordinary Shares.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our operations in China.</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the Chinese cybersecurity regulator announced on July 2, 2021, that it had begun an investigation of Didi Global Inc. (NYSE: DIDI) and two days later ordered that the company’s app be removed from smartphone app stores. Similarly, the operating entity’s business segments may be subject to various government and regulatory interference in the regions in which it operates. It could be subject to regulation by various political and regulatory entities, including various local and municipal agencies and government sub-divisions. The operating entity may incur increased costs to comply with existing and newly adopted laws and regulations or penalties for any failure to comply.</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it is uncertain when and whether we will be required to obtain any other permission from the PRC government for the offering pursuant to any accompanying prospectus supplement, and even when such permission is obtained, whether it will be later denied or rescinded. As of the date of this prospectus, except for the filing procedures with the CSRC and the reporting of relevant information according to the Overseas Listing Trial Measures, we believe we are currently not required to obtain any other permission from any of the PRC national or local government regulatory entities for the offering pursuant to any accompanying prospectus supplement, and have not received any denial to list on the U.S. exchange. However, the operating entity’s operations could be adversely affected, directly or indirectly, by existing or future laws and regulations relating to its business or industry. Recent statements by the Chinese government indicate an intent, and the PRC government may take actions, to exert more oversight and control over offerings that are conducted overseas and/or foreign investment in China-based issuers, could, if implemented, significantly limit or completely hinder our ability to offer or continue to offer securities to investors and cause the value of our securities to significantly decline or become worthless.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CSRC has promulgated Overseas Listing Trial Measures on February 17, 2023. The offering pursuant to any accompanying prospectus supplement will be determined to be an indirect overseas offering and is, therefore, subject to the CSRC filing procedures, which could significantly limit or completely hinder our ability to offer or continue to offer our Class A Ordinary Shares to investors and could cause the value of our Class A Ordinary Shares to significantly decline or become worthless.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Overseas Listing Trial Measures, which came into effect on March 31, 2023. According to the Overseas Listing Trial Measures, Chinese domestic companies that seek to offer and list securities in overseas markets, either in direct or indirect means, are required to fulfill the filing procedures with the CSRC and report relevant information. If a domestic company fails to complete the filing procedures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If the issuer meets both of the following conditions, the overseas offering and listing shall be determined as an indirect overseas offering and listing by a domestic company: (i) any of the total assets, net assets, revenues or profits of the domestic operating entities of the issuer in the most recent accounting year accounts for more than 50% of the corresponding figure in the issuer’s audited CFS for the same period; (ii) its major operational activities are carried out in China or its main places of business are located in China or the senior managers in charge of operation and management of the issuer are mostly Chinese citizens or are domiciled in China. Where a domestic company seeks to indirectly offer and list securities in an overseas market, the issuer shall designate a major domestic operating entity responsible for all filing procedures with the CSRC. The required filing scope is not limited to the initial public offering, but also includes any subsequent overseas securities offering, single or multiple acquisition(s), share swap, transfer of shares or other means to seek an overseas direct or indirect listing and a secondary listing or dual major listing of issuers already listed overseas. Subsequent securities offerings of an issuer in the same overseas market where it has previously offered and listed securities shall be filed with the CSRC within 3 working days after the offering is completed.</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advised by our PRC counsel, Sino Pro Law Firm, since the operating entity accounted for more than 50% of our consolidated revenues, profit, total assets or net assets for the six months as of December 31, 2024 and 2023, and fiscal years ended June 30, 2024 and 2023, and the key components of our operations are carried out in China, the offering pursuant to any accompanying prospectus supplement is considered an indirect offering by China-based companies, and we are, therefore, subject to the Overseas Listing Trial Measures for filing procedures with the CSRC and shall file with the CSRC within three working days after the completion of the offering pursuant to any accompanying prospectus supplement.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an overseas offering and listing is prohibited under any of the following circumstances: (1) if the intended securities offering and listing is specifically prohibited by national laws and regulations and relevant provisions; (2) if the intended securities offering and listing may constitute a threat to or endangers national security as reviewed and determined by competent authorities under the State Council in accordance with law; (3) if, in the past three years, the domestic enterprise or its controlling shareholders or actual controllers have committed corruption, bribery, embezzlement, misappropriation of property, or other criminal offenses disruptive to the order of the socialist market economy; (4) the domestic companies are currently under judicial investigation for suspicion of criminal offenses, or are under investigation for suspicion of major violations, and no conclusion has yet been made thereof;</w:t>
      </w:r>
    </w:p>
    <w:p>
      <w:pPr>
        <w:spacing w:after="0" w:line="5" w:lineRule="exact"/>
        <w:rPr>
          <w:sz w:val="20"/>
          <w:szCs w:val="20"/>
          <w:color w:val="auto"/>
        </w:rPr>
      </w:pPr>
    </w:p>
    <w:p>
      <w:pPr>
        <w:jc w:val="both"/>
        <w:ind w:firstLine="8"/>
        <w:spacing w:after="0" w:line="252" w:lineRule="auto"/>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material ownership disputes over the equity held by the domestic company’s controlling shareholder or by other shareholders that are controlled by the controlling shareholder and/or actual controller. Since these statements and regulatory actions by the PRC government are newly published and there exists uncertainty with respect to their requirements and implementation, it is highly uncertain what the potential impact such modified or new laws and regulations will have on our or the PRC operating entities’ daily business operation, the ability to accept foreign investments and listing on U.S. exchanges. We cannot assure you that we will be able to fully comply with such rules, to conduct the offering pursuant to any accompanying prospectus supplement, to maintain the listing status of our securities, or to conduct any overseas securities offerings in the future.</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Overseas Listing Trial Measures, will subject us to additional compliance requirements in the future, and although we received confirmation of the completion of the filing process for the offering pursuant to any accompanying prospectus supplement, we cannot assure you that we will be able to get the clearance of filing procedures under the Overseas Listing Trial Measures in any future subsequent offerings on a timely basis, or at all. Any failure by us to fully comply with new regulatory requirements may significantly limit or completely hinder our ability to offer or continue to offer our Class A Ordinary Shares, cause significant disruption to our business operations, and severely damage our reputation, which would materially and adversely affect our financial condition and results of operations and cause our Class A Ordinary Shares to significantly decline in value or become worthless.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Except as described in any prospectus supplement and any free writing prospectus in connection with a specific offering, we currently intend to use the net proceeds from the sale of the securities offered under this prospectus to fund the development and commercialization of our projects and the growth of our business, primarily working capital, and for general corporate purposes. We may also use a portion of the net proceeds to acquire or invest in technologies, products and/or businesses that we believe will enhance the value of our Company, although we have no current commitments or agreements with respect to any such transactions as of the date of this prospectus. We have not determined the amount of net proceeds to be used specifically for the foregoing purposes. As a result, our management will have broad discretion in the allocation of the net proceeds and investors will be relying on the judgment of our management regarding the application of the proceeds of any sale of the securities. If a material part of the net proceeds is to be used to repay indebtedness, we will set forth the interest rate and maturity of such indebtedness in a prospectus supplement. Pending use of the net proceeds will be deposited in interest bearing bank accounts.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listed and traded on the Nasdaq Capital Market, and in connection therewith, the Class A Ordinary Shares are registered under Section 12(b)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summary of material provisions of our currently effective amended and restated memorandum and articles of association (the “</w:t>
      </w:r>
      <w:r>
        <w:rPr>
          <w:rFonts w:ascii="Times New Roman" w:cs="Times New Roman" w:eastAsia="Times New Roman" w:hAnsi="Times New Roman"/>
          <w:sz w:val="18"/>
          <w:szCs w:val="18"/>
          <w:b w:val="1"/>
          <w:bCs w:val="1"/>
          <w:color w:val="auto"/>
        </w:rPr>
        <w:t>Memorandum and Articles of Association</w:t>
      </w:r>
      <w:r>
        <w:rPr>
          <w:rFonts w:ascii="Times New Roman" w:cs="Times New Roman" w:eastAsia="Times New Roman" w:hAnsi="Times New Roman"/>
          <w:sz w:val="18"/>
          <w:szCs w:val="18"/>
          <w:color w:val="auto"/>
        </w:rPr>
        <w:t>”) as well as the Companies Act (Revised) of the Cayman Islands (the “</w:t>
      </w:r>
      <w:r>
        <w:rPr>
          <w:rFonts w:ascii="Times New Roman" w:cs="Times New Roman" w:eastAsia="Times New Roman" w:hAnsi="Times New Roman"/>
          <w:sz w:val="18"/>
          <w:szCs w:val="18"/>
          <w:b w:val="1"/>
          <w:bCs w:val="1"/>
          <w:color w:val="auto"/>
        </w:rPr>
        <w:t>Cayman Companies Act</w:t>
      </w:r>
      <w:r>
        <w:rPr>
          <w:rFonts w:ascii="Times New Roman" w:cs="Times New Roman" w:eastAsia="Times New Roman" w:hAnsi="Times New Roman"/>
          <w:sz w:val="18"/>
          <w:szCs w:val="18"/>
          <w:color w:val="auto"/>
        </w:rPr>
        <w:t>”) insofar as they relate to the material terms of our Class A Ordinary Shares. Notwithstanding this, because it is a summary, it may not contain all the information that you may otherwise deem important. For more complete information, you should read the entirety of our Memorandum and Articles of Association, filed as Exhibit 3.1 to this prospectus.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dual-class voting structure such that our ordinary shares consist of Class A Ordinary Shares and Class B Ordinary Shares. Each Class A Ordinary Share is entitled to one (1) vote on all matters subject to vote at general and special meetings of the Company and each Class B Ordinary Share is entitled to ten (10) votes on all matters subject to vote at general meetings (include extraordinary general meetings) of the Company. Holders of Class A Ordinary Shares and Class B Ordinary Shares shall, at all times, vote together as one Class on all matters submitted to a vote by the shareholders. Due to the super voting power of Class B ordinary shareholder, the voting power of the Class A Ordinary Shares may be materially limited.</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10, 2025, there are 2,205,795 Class A Ordinary Shares issued and outstanding and 690,800 Class B Ordinary Shares issued and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Ordinary Shares are not subject to any pre-emptive or similar rights under the Cayman Companies Act or pursuant to our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Class A Ordinary Shares and Class B Ordinary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authorized share capital of the Company is $1,000,000, divided into 300,000,000 Class A Ordinary Shares and 100,000,000 Class B Ordinary Shares. Holders of our Class A Ordinary Shares and Class B Ordinary Shares have the same rights except for voting rights and conversion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our Class A Ordinary Shares and Class B Ordinary Shares are entitled to such dividends as may be declared by our board of directors subject to the Cayman Companies Act and to our Memorandum and Articles of Association. Our Memorandum and Articles of Association provide that our board of directors may pay interim dividends or declare final dividends in accordance with the respective rights of the shareholders if it appears to them that they are justified by the financial position of the Company and that such dividends may lawfully be paid. In addition, our shareholders may by ordinary resolution declare dividends in accordance with the respective rights of the shareholders, but no dividend may exceed the amount recommended by our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respect of all matters subject to a shareholders’ vote, each Class B Ordinary Share is entitled to ten (10) votes, and each Class A Ordinary Share is entitled to one (1) vote, voting together as one class. At any general meeting a resolution put to the vote of the meeting shall be decided on a poll which shall be taken at such time and in such manner as the Chairman of the meeting directs and the result of the poll shall be deemed to be the resolution of the meeting.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business shall be transacted at any general meeting unless a quorum of members is present in person or by proxy; if the Company has only one member, that member; or if the Company has more than one member, two members. An ordinary resolution to be passed at a general meeting requires the affirmative vote of a simple majority of the votes cast, while a special resolution requires the affirmative vote of at least two-thirds of such members as, being entitled to do so, vote in person or by proxy at a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Class A Ordinary Shares are not convertible. Each Class B Ordinary Share shall be converted at the option of the holder at any time after issuance and without the payment of any additional sum, into one Class A Ordinary Share in accordance with our Articles of Association. The Class B Ordinary Shares will be automatically and immediately converted into an equal and corresponding number of Class A Ordinary Shares (being a 1:1 ratio and hereafter referred to as the “Conversion Rate”, subject to adjustment) upon any sale, transfer, assignment or disposition of Class B Ordinary Shares by a holder thereof to any person or entity which is not an affiliate of such holder (except where the sale, transfer, assignment or disposition is in relation to at least 50% of the then issued and outstanding Class B Ordinary Shares, such transferred Class B Ordinary Shares will not be converted into Class A Ordinary Shares and will remain as Class B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Directors may be appointed by an ordinary resolution of our shareholder or by a resolution of the directors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restrictions set out below and the conversion rights described above, any of our shareholders may transfer all or any of their Class A Ordinary Shares or Class B Ordinary Shares by an instrument of transfer in the usual or common form or any other form approved by our board of directors.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directors may decline to register any transfer of any shares unless: (a) the instrument of transfer is lodged with the Company, accompanied by the certificate (if any)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(e) the shares transferred are fully paid up and free of any lien in favor of the Company; and (f) any applicable fee of such maximum sum as the applicable stock exchange may determine to be payable, or such lesser sum as the board of directors may from time to time require, related to the transfer is paid to the Company.</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sole discretion, decline to register any transfer of any Class A Ordinary Shares or Class B Ordinary Shares whether or not it is fully paid up to the total consideration paid for such shares.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the transferee notice of such refusal.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be suspended and the register closed at such times and for such periods as our board of directors may from time to time determine; provided, however, that the registration of transfers shall not be suspended for more than 30 days in any calendar year as our board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Winding-Up/Liquidation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shares), a liquidator may be appointed to determine how to distribute the assets among the holders of the Class A Ordinary Shares and Class B Ordinary Shares. If our assets available for distribution are insufficient to repay all of the paid-up capital, the assets will be distributed so that the losses are borne by our shareholders proportionately; a similar basis will be employed if the assets are more than sufficient to repay the whole of the capital at the commencement of the winding 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Class A Ordinary Shares or Class B Ordinary Shares in a notice served to such shareholders at least 14 clear days prior to the specified time and place of payment. The shares that have been called upon and remain unpaid on the specified time are subject to forfeiture.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Shares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Neither the Class A Ordinary Shares nor the Class B Ordinary Shares are redeemable at the option of the holder.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Cayman Companies Act and our Memorandum and Articles of Association permit us to purchase, redeem or otherwise acquire our own shares, subject to certain restrictions and requirements under the Cayman Companies Act, our Memorandum and Articles of Association and any applicable requirements imposed from time to time by the Nasdaq and the SEC. In accordance with our Memorandum and Articles of Association and provided the necessary shareholders or board approval have been obtained, we may issue shares on terms that are subject to redemption, at our option or at the option of the holders of these shares, on such terms and in such manner, including out of capital, as may be determined by our board of directors. Under the Cayman Companies Act, the repurchase of any share may be paid out of our company’s profits, out of our share capital account or out of the proceeds of a fresh issue of shares made for the purpose of such repurchase, or, subject to certain conditions, out of capital. If the repurchase proceeds are paid out of our Company’s capital, our Company must, immediately following such payment, be able to pay its debts as they fall due in the ordinary course of business. In addition, under the Cayman Companies Act, no such share may be repurchased (1) unless it is fully paid up, (2) if such repurchase would result in there being no shares outstanding, and (3) unless the manner of purchase (if not so authorized under the Memorandum and Articles of Association) has first been authorized by a resolution of our shareholders. In addition, under the Cayman Companies Act, our Company may accept the surrender of any fully paid share for no consideration unless, as a result of the surrender, the surrender would result in there being no shares outstanding (other than shares held as treasury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rights attached to any class of shares (unless otherwise provided by the terms of issue of the shares of that class), whether or not our company is being wound-up, may be varied with the consent in writing of the holders of two-thirds of the issued shares of that class or with the sanction of a special resolution passed at a separate meeting of the holders of the shares of the class.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number of shares we are authorized to issue and those in issue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from time to time by resolution of shareholders:</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authorized share capital of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into shares of an amount smaller than that fixed by the Memorandum and Articles of Association;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larger amount than its existing shares;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shares which, at the date of the passing of the resolution, have not been taken or agreed to be taken by any person, and diminish the amount of its share capital by the amount of the shares so cancelled.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Memorandum and Articles of Association authorizes our board of directors to issue additional Class A Ordinary Shares or Class B Ordinary Shares from time to time as our board of directors shall determine, to the extent of available authorized but unissued shares.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Issuance of additional shares may dilute the voting power of holders of Class A Ordinary Shares and Class B Ordinary Shares. However, our Memorandum and Articles of Association provide for authorized share capital comprising Class A Ordinary Shares and Class B Ordinary Shares and to the extent the rights attached to any class may be varied, the Company must comply with the provisions in the Memorandum and Articles of Association relating to variations to rights of shares.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Our authorized, but unissued Class A Ordinary Shares and Class B Ordinary Shares are available for future issuance without shareholders’ approval and could be utilized for a variety of corporate purposes, including future offerings to raise additional capital, acquisitions and employee benefit plans. The existence of authorized but unissued Class A Ordinary Shares and Class B Ordinary Shares could render more difficult or discourage an attempt to obtain control of us by means of a proxy contest, tender offer, merger or otherwise.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(other than the memorandum and articles of association and any special resolutions passed by such companies, and the register of mortgages and charges of such companies). However, we will provide our shareholders with annual audited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 and Shareholder Proposals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shareholders’ general meetings may be held in such place within or outside the Cayman Islands as our Board of Directors considers appropriate.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(As Revised) of the Cayman Islands to call shareholders’ annual general meetings. The directors may, whenever they think fit, convene an extraordinary general meeting.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Shareholders’ general meetings and any other general meetings of our shareholders may be convened by a majority of our Board of Directors. Our Board of Directors shall give not less than five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shares representing in aggregate not less than ten percent of the rights to vote at such general meeting to requisition an extraordinary general meeting of our shareholders, in which case our directors are obliged to call such meeting and to put the resolutions so requisitioned to a vote at such meeting; otherwise, our Memorandum and Articles of Association do not provide our shareholders with any right to put any proposals before annual general meetings or extraordinary general meetings not called by such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(As Revised) of the Cayman Islands. The Companies Act (As Revised)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Cayman Islands distinguishes between ordinary resident companies and exempted companies. A Cayman Islands exempted company:</w:t>
      </w:r>
    </w:p>
    <w:p>
      <w:pPr>
        <w:spacing w:after="0" w:line="20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company that conducts its business mainly outside of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exempted from certain requirements of the Companies Act (As Revised) of the Cayman Islands, including the filing an annual return of its shareholders with the Registrar of Companies;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make its register of members open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 (subject to the provisions of the Companies Act (As Revised) of the Cayman Islands);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obtain an undertaking against the imposition of any future taxation (such undertakings are usually given for 20 years in the first instance); and</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225"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Once our register of members has been updated, the shareholders recorded in the register of members are deemed to have legal title to the shares set against their name.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Amended and Restated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require us to indemnify our officers and directors for actions, proceedings, claims, losses, damages, costs, liabilities and expenses (“Indemnified Losses”) incurred in their capacities as such unless such Indemnified Losses arise from dishonesty of such directors or officers. This standard of conduct is generally the same as permitted under the Delaware General Corporation Law for a Delaware corporation.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Differences between U.S. Corporate Law and Cayman Islands Corporate Law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Companies Act (As Revised) of the Cayman Islands is modeled after that of English law but does not follow many recent English law statutory enactments. In addition, the Companies Act (As Revised) of the Cayman Islands differs from laws applicable to United States corporations and their shareholders. Set forth below is a summary of the significant differences between the provisions of the Companies Act (As Revised) of the Cayman Islands applicable to us and the laws applicable to companies incorporated in the State of Delaware.</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r>
        <w:rPr>
          <w:rFonts w:ascii="Times New Roman" w:cs="Times New Roman" w:eastAsia="Times New Roman" w:hAnsi="Times New Roman"/>
          <w:sz w:val="18"/>
          <w:szCs w:val="18"/>
          <w:color w:val="auto"/>
        </w:rPr>
        <w:t>. A merger of two or more constituent companies under Cayman Islands law requires a plan of merger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consolidation to be approved by the directors of each constituent company and authorization by (a) a special resolution of the shareholders and (b) such other authorization, if any, as may be specified in such constituent company’s articles of association.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Islands parent company and its Cayman Islands subsidiary or subsidiaries does not require authorization by a resolution of shareholders of that Cayman Islands subsidiary if a copy of the plan of merger is given to every member of that Cayman Islands subsidiary to be merged unless that member agrees otherwise. For this purpose a subsidiary is a company of which at least ninety percent (90%) of the issued shares entitled to vote are owned by the parent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Save in certain circumstances, a dissentient shareholder of a Cayman constituent company is entitled to payment of the fair value of his shares upon dissenting to a merger or consolidation. The exercise of appraisal rights will preclude the exercise of any other rights save for the right to seek relief on the grounds that the merger or consolidation is void or unlawful.</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Those provisions provide that if a majority in number representing 75% in value of the creditors or class of creditors (as the case may be) present and voting either in person or by proxy at the meeting, agree to any compromise or arrangement, the compromise or arrangement shall, if sanctioned by the Grand Court of the Cayman Islands, be binding on all the creditors or the class of creditors, as the case may be, and also on the company or, where a company is in the course of being wound up, on the liquidator and contributories of the company. Alternatively, if 75% in value of the members or class of members (as the case may be) present and voting either in person or by proxy at the meeting, agree to any compromise or arrangement, the compromise or arrangement shall, if sanctioned by the Grand Court of the Cayman Islands, be binding on all the members or the class of members, as the case may be, and also on the company or, where a company is in the course of being wound up, on the liquidator and contributories of the company.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94"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 (As Revised) of the Cayman Islands.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90.0% of the shares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However, based on English authorities, which would in all likelihood be of persuasive authority in the Cayman Islands, there are exceptions to the foregoing principle, including when:</w:t>
      </w:r>
    </w:p>
    <w:p>
      <w:pPr>
        <w:spacing w:after="0" w:line="17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Amended and Restated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current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we have entered into indemnification agreements with our directors and executive officers that provide such persons with additional indemnification beyond that provided in the Memorandum and Articles of Association.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 - a duty to act bona fide in the best interests of the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written consent by amendment to its certificate of incorporation. Cayman Islands law and our current Memorandum and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Cayman Islands law does not provide shareholders any right to put proposals before a meeting or requisition a general meeting. However, these rights may be provided in articles of association. Our current articles of association allow our shareholders holding not less than one-third of all voting power of our share capital in issue to requisition a shareholder’s meeting. Other than this right to requisition a shareholders’ meeting, our Memorandum and Articles of Association do not provide our shareholders other right to put proposal before a meeting. As a Cayman Islands exempted company, we are not obliged by law to call shareholders’ annual general meetings.</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the Memorandum and Articles of Association does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with the approval of a majority of the outstanding shares entitled to vote, unless the certificate of incorporation provides otherwise. Under the Memorandum and Articles of Association, directors may be removed with or without cause, by an ordinary resolution of our shareholders.</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(As Revised) of the Cayman Islands and the Memorandum and Articles of Association, our company may be dissolved, liquidated or wound up by a special resolution of our shareholders.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majority of the outstanding shares of such class, unless the certificate of incorporation provides otherwise. Under Cayman Islands law and the Memorandum and Articles of Association, if our share capital is divided into more than one class of shares, we may vary the rights attached to any class with the written consent of the holders of two-thirds of the issued shares of that class or with the sanction of a resolution passed by not less than two-thirds of such holders of the shares of that class as may be present at a general meeting of the holders of the shares of that class.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As permitted by Cayman Islands law, our current Memorandum and Articles of Association may only be amended with a special resolution of our shareholders.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Memorandum and Articles of Association on the rights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non-resident or foreign shareholders to hold or exercise voting rights on our shares. In addition, there are no provisions in the Memorandum and Articles of Association governing the ownership threshold above which shareholder ownership must be disclosed.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 — Cayman Islands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(Revised) of the Cayman Islands, as amended and revised from time to time (the “Regulations”). Depending on the circumstances of each application, a detailed verification of identity might not be required where:</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makes the payment for their investment from an account held in the subscriber’s name at a recognized financial institution;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is regulated by a recognized regulatory authority and is based or incorporated in, or formed under the law of, a recognized jurisdiction;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is made through an intermediary which is regulated by a recognized regulatory authority and is based in or incorporated in, or formed under the law of a recognized jurisdiction and an assurance is provided in relation to the procedures undertaken on the underlying investors.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reserve the right to refuse to make any redemption payment to a shareholder if our directors or officers suspect or are advised that the payment of redemption proceeds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If any person resident in the Cayman Islands knows or suspects or has reason for knowing or suspecting that another person is engaged in criminal conduct or is involved with terrorism or terrorist property and the information for that knowledge or suspicion came to their attention in the course of their business in the regulated sector, or other trade, profession, business or employment, the person will be required to report such knowledge or suspicion to</w:t>
      </w:r>
    </w:p>
    <w:p>
      <w:pPr>
        <w:spacing w:after="0" w:line="1" w:lineRule="exact"/>
        <w:rPr>
          <w:sz w:val="20"/>
          <w:szCs w:val="20"/>
          <w:color w:val="auto"/>
        </w:rPr>
      </w:pPr>
    </w:p>
    <w:p>
      <w:pPr>
        <w:jc w:val="both"/>
        <w:ind w:firstLine="8"/>
        <w:spacing w:after="0" w:line="253" w:lineRule="auto"/>
        <w:tabs>
          <w:tab w:leader="none" w:pos="21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nominated officer (appointed in accordance with the Proceeds of Crime Act (Revised) of the Cayman Islands) or the Financial Reporting Authority of the Cayman Islands, pursuant to the Proceeds of Crime Act (Revised), if the disclosure relates to criminal conduct or money laundering or (ii) to a police constable or a nominated officer (pursuant to the Terrorism Act (Revised) of the Cayman Islands) or the Financial Reporting Authority, pursuant to the Terrorism Act (Revised), if the disclosure relates to involvement with terrorism or terrorist financing and terrorist property. Such a report shall not be treated as a breach of confidence or of any restriction upon the disclosure of information imposed by any enactment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in the Cayman Islands — Privacy Notice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privacy notice explains the manner in which we collect, process, and maintain personal data about our investors pursuant to the Data Protection Act (Revised) of the Cayman Islands, as amended from time to time and any regulations, codes of practice, or orders promulgated pursuant thereto (the “DPA”).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committed to processing personal data in accordance with the DPA. In our use of personal data, we will be characterized under the DPA as a “data controller,” whilst certain of our service providers, affiliates, and delegates may act as “data processors” under the DPA. These service providers may process personal information for their own lawful purposes in connection with services provided to us.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purpose of this privacy notice, “you” or “your” shall mean the subscriber and shall also include any individual connected to the subscriber.</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virtue of your investment in our Company, we and certain of our service providers may collect, record, store, transfer, and otherwise process personal data by which individuals may be directly or indirectly identified. We may combine personal data that you provide to us with personal data that we collect from, or about you. This may include personal data collected in an online or offline context including from credit reference agencies and other available public databases or data sources, such as news outlines, websites and other media sources and international sanctions lists.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Your personal data will be processed fairly and for lawful purposes, including (a) where the processing is necessary for us to perform a contract to which you are a party or for taking pre-contractual steps at your request, (b) where the processing is necessary for compliance with any legal, tax, or regulatory obligation to which we are subject, or (c) where the processing is for the purposes of legitimate interests pursued by us or by a service provider to whom the data are disclosed, or (d) where you otherwise consent to the processing of personal data for any other specific purpose. As a data controller, we will only use your personal data for the purposes for which we collected it. If we need to use your personal data for an unrelated purpose, we will contact you.</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anticipate that we will share your personal data with our service providers for the purposes set out in this privacy notice. We may also share relevant personal data where it is lawful to do so and necessary to comply with our contractual obligations or your instructions or where it is necessary or desirable to do so in connection with any regulatory reporting obligations. In exceptional circumstances, we will share your personal data with regulatory, prosecuting, and other governmental agencies or departments, and parties to litigation (whether pending or threatened), in any country or territory including to any other person where we have a public or legal duty to do so (e.g. to assist with detecting and preventing fraud, tax evasion, and financial crime or compliance with a court order).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color w:val="auto"/>
        </w:rPr>
        <w:t>Your personal data shall not be held by our Company for longer than necessary with regard to the purposes of the data processing.</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not sell your personal data. Any transfer of personal data outside of the Cayman Islands shall be in accordance with the requirements of the DPA. Where necessary, we will ensure that separate and appropriate legal agreements are put in place with the recipient of that data.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to your investment into our Company, this will be relevant for those individuals and you should transmit this document to those individuals for their awareness and consideration.</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You have certain rights under the DPA, including (a) the right to be informed as to how we collect and use your personal data (and this privacy notice fulfils our obligation in this respect), (b) the right to obtain a copy of your personal data, (c) the right to require us to stop direct marketing, (d) the right to have inaccurate or incomplete personal data corrected, (e) the right to withdraw your consent and require us to stop processing or restrict the processing, or not begin the processing of your personal data, (f) the right to be notified of a data breach (unless the breach is unlikely to be prejudicial), (g) the right to obtain information as to any countries or territories outside the Cayman Islands to which we, whether directly or indirectly, transfer, intend to transfer, or wish to transfer your personal data, general measures we take to ensure the security of personal data, and any information available to us as to the source of your personal data, (h) the right to complain to the Office of the Ombudsman of the Cayman Islands, and (i) the right to require us to delete your personal data in some limited circumstances.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do not wish to provide us with requested personal data or subsequently withdraw your consent, you may not be able to invest in our Company or remain invested in our Company as it will affect our ability to manage your investment.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you consider that your personal data has not been handled correctly, or you are not satisfied with our responses to any requests you have made regarding the use of your personal data, you have the right to complain to the Cayman Islands’ Ombudsman. The Ombudsman can be contacted by calling +1 (345) 946-6283 or by email at info@ombudsman.ky.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Substance Legislation of the Cayman Islands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Cayman Islands, together with several other non-European Union jurisdictions, have introduced legislation aimed at addressing concerns raised by the Council of the European Union as to offshore structures engaged in certain activities which attract profits without real economic activity. With effect from January 1, 2019, the International Tax Co-operation (Economic Substance) Act (Revised) (the “Substance Act”) came into force in the Cayman Islands in January 2019 introducing certain economic substance requirements for in-scope Cayman Islands entities which are engaged in certain “relevant activities.” An exempted company incorporated in the Cayman Islands as is our Company is an in-scope Cayman Islands entity; however, it does not include an entity that is tax resident outside the Cayman Islands. Based on the current interpretations of the Substance Act, our Company is a “pure equity holding company” and will therefore likely be subject to more limited substance requirements. However, as it is a relatively new regime, it is anticipated that the Substance Act will evolve and be subject to further clarification and amendments. Failure to satisfy applicable requirements may subject us to penalties under the Substance Act.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all the current authorized share capital is designated as Ordinary Shares, shareholders’ special resolution will be needed to amend the Company’s M&amp;A to alter its authorized share capital if the Company decides to issue preferred shares and following such amendment to the Company’s M&amp;As, a copy must be filed with the Registrar of Companies of the Cayman Islands. After such resolution and amendment to the Company’s M&amp;As in accordance with and following filing amended and restated M&amp;As with the Registrar of Companies of the Cayman Islands, the Board is empowered to allot and/or issue (with or without rights of renunciation), grant options over, offer or otherwise deal with or dispose of any unissued shares of the Company (whether forming part of the original or any increased share capital), either at a premium or at par, with or without preferred, deferred or other special rights or restrictions, whether in regard to dividend, voting, return of capital or otherwise and to such persons, on such terms and conditions, and at such times as the Board may decide and they may allot or otherwise dispose of them to such persons (including any director of the Board) on such terms and conditions and at such time as the Board may determine.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should refer to the prospectus supplement relating to the series of preferred shares being offered for the specific terms of that series, including:</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series and the number of shares in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shares will be offered;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preferred shares being offered;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and the provisions for redemption, if applicable, of the preferred shares being offered, including any restrictions on the foregoing as a result of arrearage in the payment of dividends or sinking fund installments;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being offered will be convertible into our Ordinary Shares, including the conversion price, or the manner of calculating the conversion price, and the conversion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being offered will be exchangeable for debt securities, including the exchange price, or the manner of calculating the exchange price, and the exchange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being offered on any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federal income tax considerations applicable to the preferred shares being offered;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preemptive rights;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being offered as to dividend rights and rights upon liquidation, dissolution or the winding up of our affairs;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shares ranking senior or equal to the series of preferred shares being offered as to dividend rights and rights upon liquidation, dissolution or the winding up of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series.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issuance, the preferred shares will be fully paid and nonassessable, which means that its holders will have paid their purchase price in full and we may not require them to pay additional funds.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stockholders. The rights of holders of our Ordinary Shares will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issued under an indenture (which we refer to herein as an Indenture) will be entered into between us and a trustee to be named therein. It is likely that convertible debt securities will not be issued under an Indenture.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Indenture or forms of Indentures, if any, will be filed as exhibits to the registration statement of which this prospectus is a part.</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Events of Default Under the Indenture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payable at maturity, upon redemption or repurchase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certain days;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Securities of a Series or in this Indenture, and our failure continues for certain days after we receive written notice from the trustee or holders of at least certain percentage in aggregate principal amount of the outstanding debt securities of the applicable series. The written notice must specify the Default, demand that it be remedied and state that the notice is a “Notice of Default”;</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event of default provided with respect to securities of that series, which is specified in a Board Resolution, a supplemental indenture hereto or an Officers’ Certificate as defined in the Form of Indenture.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covenant in the Form of Indenture to deliver a certificate to the trustee annually, within certain days after the close of the fiscal year, to show that we are in compliance with the terms of the indenture and that we have not defaulted under the indenture.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Nonetheless, if we issue debt securities, the terms of the debt securities and the final form of indenture will be provided in a prospectus supplement. Please refer to the prospectus supplement and the form of indenture attached thereto for the terms and conditions of the offered debt securities. The terms and conditions may or may not include whether or not we must furnish periodic evidence showing that an event of default does not exist or that we are in compliance with the terms of the indenture.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direct secured or unsecured obligations of our company. The senior debt securities will rank equally with any of our other unsecured senior and unsubordinated debt. The subordinated debt securities will be subordinate and junior in right of payment to any senior indebtedness.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senior indebtedness issued under an Indenture.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Prospectus Supplement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being offered. These terms will include some or all of the following:</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they are subordinated, senior subordinated or senior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 if other than 360-day year or twelve 30-day months;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maximum consecutive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jc w:val="both"/>
        <w:ind w:left="328"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 if other than the full principal amount;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Ordinary Shares, preferred shares or other securities or property;</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60" w:name="page61"/>
    <w:bookmarkEnd w:id="60"/>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 if other than the entire principal amount;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will not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issue warrants to purchase our Class A Ordinary Shares, debt securities or any combination thereof. Warrants may be issued independently or together with any other securities that may be sold by us pursuant to this prospectus or any combination of the foregoing and may be attached to, or separate from, such securities. To the extent warrants that we issue are to be publicly-traded,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amount and terms of the securities or other rights for which the warrants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other securities, if any, with which the warrants are to be issued and the number of warrants issued with each other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securities or other rights purchasable upon exercise of the warrants may be purchased;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securities or other rights purchasable upon exercise of the warrants will be separately transferable;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U.S. federal income tax considerations applicable to the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or minimum number of warrants that may be exercised at any time;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warrant will entitle the holder of warrants to purchase the number of Class A Ordinary Shares, preferred shares or debt securities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to purchase Class A Ordinary Shares of the relevant class or series, holders of the warrants will not have any of the rights of holders of Class A Ordinary Shares purchasable upon exercise, including the right to vote or to receive any payments of dividends or payments upon our liquidation, dissolution or winding up on the Class A Ordinary Shares purchasable upon exercise, if 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Share Capital - Ordinary Shares and Preferred Shares” and “Description of Warrants” will apply to each unit and to any Ordinary Share, preferred share or warrant included in each unit,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in Series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prospectus supplement relating to any rights that we offer will include specific terms relating to the offering, including, among other matters:</w:t>
      </w:r>
    </w:p>
    <w:p>
      <w:pPr>
        <w:spacing w:after="0" w:line="225"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ind w:left="41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transfer agent and registrar is Transhare Corporation, with its office located at 2849 Executive Drive, Suite 200, Clearwater, FL 33762.</w:t>
      </w:r>
    </w:p>
    <w:p>
      <w:pPr>
        <w:spacing w:after="0" w:line="23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Ordinary Shares are listed on the NASDAQ Capital Market under the symbol “HAO.”</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20"/>
          </w:cols>
          <w:pgMar w:left="660" w:top="900" w:right="12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may sell the securities offered through this prospectus (i) to or through underwriters or dealers, (ii) directly to purchasers, including our affiliates,</w:t>
      </w:r>
    </w:p>
    <w:p>
      <w:pPr>
        <w:spacing w:after="0" w:line="27" w:lineRule="exact"/>
        <w:rPr>
          <w:sz w:val="20"/>
          <w:szCs w:val="20"/>
          <w:color w:val="auto"/>
        </w:rPr>
      </w:pPr>
    </w:p>
    <w:p>
      <w:pPr>
        <w:jc w:val="both"/>
        <w:ind w:firstLine="8"/>
        <w:spacing w:after="0" w:line="255" w:lineRule="auto"/>
        <w:tabs>
          <w:tab w:leader="none" w:pos="3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other than our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otherwise set forth in the applicable prospectus supplement, certain legal matters in connection with the securities offered pursuant to this prospectus will be passed upon for us by Hunter Taubman Fischer &amp; Li LLC to the extent governed by the U.S. federal securities laws and the laws of the State of New York, by Ogier to the extent governed by the laws of the Cayman Islands, and by Sino Pro Law Firm to the extent governed by the laws of P.R. China. If legal matters in connection with offerings made pursuant to this prospectus are passed upon by counsel to underwriters, dealers or agents, such counsel will be named in the applicable prospectus supplement relating to any such offering.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June 30, 2024 and 2023, and for each year of the three years period ended June 30, 2024, 2023 and 2022 have been audited by Wei, Wei &amp; Co., LLP, an independent registered public accounting firm, as set forth in their reports thereon, and are incorporated herein by reference. Such consolidated financial statements are incorporated herein by reference, and are included in reliance upon such audit reports given on the authority of such firm as experts in accounting and auditing. The office of Wei, Wei &amp; Co., LLP is located at 133-10, 39th Avenue, Flushing, New York 11354.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for the fiscal years ended June 30, 2024, 2023 and 2022 are included in our 2024 Annual Report, filed on October 29, 2024, and are incorporated by reference into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hereby incorporate by reference into this prospectus the following documents that we have filed with the SEC under the Exchange Act:</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99">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for the fiscal year ended June 30, 2024, filed with the SEC on October 29,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auto"/>
          </w:rPr>
          <w:t xml:space="preserve">the Company’s Current Reports on Form 6-K, filed with the SEC on </w:t>
        </w:r>
        <w:r>
          <w:rPr>
            <w:rFonts w:ascii="Times New Roman" w:cs="Times New Roman" w:eastAsia="Times New Roman" w:hAnsi="Times New Roman"/>
            <w:sz w:val="18"/>
            <w:szCs w:val="18"/>
            <w:u w:val="single" w:color="auto"/>
            <w:color w:val="0000EE"/>
          </w:rPr>
          <w:t>November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November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19,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14,</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1">
        <w:r>
          <w:rPr>
            <w:rFonts w:ascii="Times New Roman" w:cs="Times New Roman" w:eastAsia="Times New Roman" w:hAnsi="Times New Roman"/>
            <w:sz w:val="18"/>
            <w:szCs w:val="18"/>
            <w:u w:val="single" w:color="auto"/>
            <w:color w:val="0000EE"/>
          </w:rPr>
          <w:t xml:space="preserve">April 14, 2025 </w:t>
        </w:r>
      </w:hyperlink>
      <w:hyperlink r:id="rId10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02">
        <w:r>
          <w:rPr>
            <w:rFonts w:ascii="Times New Roman" w:cs="Times New Roman" w:eastAsia="Times New Roman" w:hAnsi="Times New Roman"/>
            <w:sz w:val="18"/>
            <w:szCs w:val="18"/>
            <w:u w:val="single" w:color="auto"/>
            <w:color w:val="0000EE"/>
          </w:rPr>
          <w:t>April 23, 2025</w:t>
        </w:r>
      </w:hyperlink>
      <w:hyperlink r:id="rId100">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incorporated by reference in our registration statement on </w:t>
      </w:r>
      <w:hyperlink r:id="rId103">
        <w:r>
          <w:rPr>
            <w:rFonts w:ascii="Times New Roman" w:cs="Times New Roman" w:eastAsia="Times New Roman" w:hAnsi="Times New Roman"/>
            <w:sz w:val="18"/>
            <w:szCs w:val="18"/>
            <w:u w:val="single" w:color="auto"/>
            <w:color w:val="0000EE"/>
          </w:rPr>
          <w:t>Form F-1</w:t>
        </w:r>
      </w:hyperlink>
      <w:r>
        <w:rPr>
          <w:rFonts w:ascii="Times New Roman" w:cs="Times New Roman" w:eastAsia="Times New Roman" w:hAnsi="Times New Roman"/>
          <w:sz w:val="18"/>
          <w:szCs w:val="18"/>
          <w:color w:val="auto"/>
        </w:rPr>
        <w:t>, as amended (File No. 333-280174) originally filed with the Commission on June 13, 2024, including any amendment and report subsequently filed for the purpose of updating that description.</w:t>
      </w:r>
    </w:p>
    <w:p>
      <w:pPr>
        <w:spacing w:after="0" w:line="176" w:lineRule="exact"/>
        <w:rPr>
          <w:rFonts w:ascii="Times New Roman" w:cs="Times New Roman" w:eastAsia="Times New Roman" w:hAnsi="Times New Roman"/>
          <w:sz w:val="18"/>
          <w:szCs w:val="18"/>
          <w:color w:val="0000EE"/>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(and in the case of a Current Report on Form 6-K, so long as they state that they are incorporated by reference into this prospectus, and other than Current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spacing w:after="0" w:line="192" w:lineRule="exact"/>
        <w:rPr>
          <w:rFonts w:ascii="Times New Roman" w:cs="Times New Roman" w:eastAsia="Times New Roman" w:hAnsi="Times New Roman"/>
          <w:sz w:val="18"/>
          <w:szCs w:val="18"/>
          <w:color w:val="0000EE"/>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who receives this prospectus, a copy of any or all of the documents incorporated by reference (other than exhibits to the documents that are not specifically incorporated by reference in the documents). Please direct written or oral requests for copies to us at Room 801, Tower C, Floor 8, Building 103, Huizhongli, Chaoyang District, Beijing, China, Attn: Zhen Fan, Tel: +86-10-13311587976.</w:t>
      </w:r>
    </w:p>
    <w:p>
      <w:pPr>
        <w:spacing w:after="0" w:line="17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0000EE"/>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7" w:lineRule="exact"/>
        <w:rPr>
          <w:rFonts w:ascii="Times New Roman" w:cs="Times New Roman" w:eastAsia="Times New Roman" w:hAnsi="Times New Roman"/>
          <w:sz w:val="18"/>
          <w:szCs w:val="18"/>
          <w:color w:val="0000EE"/>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that are applicable to foreign private issuers, and, in accordance with these requirements, we file annual and current reports and other information with the SEC. You may inspect, read (without charge) and copy the reports and other information we file with the SEC at the SEC’s Public Reference Room located at 100 F Street, N.E., Washington, D.C. 20549. You may obtain information on the operation of the Public Reference Room by calling the SEC at 1-800-SEC-0330. The SEC also maintains an internet website at </w:t>
      </w:r>
      <w:r>
        <w:rPr>
          <w:rFonts w:ascii="Times New Roman" w:cs="Times New Roman" w:eastAsia="Times New Roman" w:hAnsi="Times New Roman"/>
          <w:sz w:val="18"/>
          <w:szCs w:val="18"/>
          <w:i w:val="1"/>
          <w:iCs w:val="1"/>
          <w:color w:val="auto"/>
        </w:rPr>
        <w:t xml:space="preserve">www.sec.gov </w:t>
      </w:r>
      <w:r>
        <w:rPr>
          <w:rFonts w:ascii="Times New Roman" w:cs="Times New Roman" w:eastAsia="Times New Roman" w:hAnsi="Times New Roman"/>
          <w:sz w:val="18"/>
          <w:szCs w:val="18"/>
          <w:color w:val="auto"/>
        </w:rPr>
        <w:t>that contains our filed reports and other information that we file electronically with the SEC.</w:t>
      </w:r>
    </w:p>
    <w:p>
      <w:pPr>
        <w:spacing w:after="0" w:line="39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limited by shares and our affairs are governed by our amended and restated memorandum and articles of association and the Cayman Companies Act, and the common law of the Cayman Islands. We are incorporated under the laws of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The Cayman Islands, however, has a less developed body of securities laws as compared to the United States and provides significantly less protection for investors than the United States. Additionally, Cayman Islands companies may not have standing to sue in the Federal courts of the United States.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Substantially all of our assets are located in China. In addition, all of our directors and officers are nationals or residents of China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appointed Cogency Global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been advised by Ogier, our counsel as to Cayman Islands law, there is uncertainty as to whether the courts of the Cayman Islands would:</w:t>
      </w:r>
    </w:p>
    <w:p>
      <w:pPr>
        <w:spacing w:after="0" w:line="225" w:lineRule="exact"/>
        <w:rPr>
          <w:sz w:val="20"/>
          <w:szCs w:val="20"/>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U.S. courts obtained against us or our directors or officers predicated upon the civil liability provisions of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also been advised by Ogier that it is uncertain whether the courts of the Cayman Islands will allow shareholders of our company to originate actions in the Cayman Islands based upon securities laws of the United States. In addition, there is uncertainty with regard to Cayman Islands law related to whether a judgment obtained from the U.S. courts under civil liability provisions of U.S. securities laws will be determined by the courts of the Cayman Islands as penal or punitive in nature. If such a determination is made, the courts of the Cayman Islands will not recognize or enforce the judgment against a Cayman Islands company, such as our Company. As the courts of the Cayman Islands have yet to rule on making such a determination in relation to judgments obtained from U.S. courts under civil liability provisions of U.S. securities laws, it is uncertain whether such judgments would be enforceable in the Cayman Islands. Ogier has further advised us that although there is no statutory enforcement in the Cayman Islands of judgments obtained in the United States, the courts of the Cayman Islands will recognize and enforce a foreign judgement, without any re-examination or re-litigation of matters adjudicated upon, provided such judgment:</w:t>
      </w:r>
    </w:p>
    <w:p>
      <w:pPr>
        <w:spacing w:after="0" w:line="18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given by a foreign court of competent jurisdiction;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the judgment debtor a liability to pay a liquidated sum for which the judgment has been given;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final;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 respect of taxes, a fine or a penalty;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obtained by fraud;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of a kind the enforcement of which is contrary to natural justice or the public policy of the Cayman Islands.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U.S. company.</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PRC counsel, Sino Pro Law Firm, has further advised us that the recognition and enforcement of foreign judgments are regulated under the PRC Civil Procedure Law. PRC courts may recognize and enforce foreign judgments in accordance with the requirements of the PRC Civil Procedure Law based either on treaties between China and the country where the judgment is made or on reciprocity between jurisdictions. There are no treaties or other forms of reciprocity between China and the United States for the mutual recognition and enforcement of court judgments. In addition, under PRC law, PRC courts will not enforce a foreign judgment against us or our officers and directors if the court decides that such judgment violates the basic principles of PRC law or national sovereignty, security or public interest, thus making the recognition and enforcement of a U.S. court judgment in China difficult.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9,000,000 Class A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176,034,979 Class A Ordinary Shares Underlying the 16,999,998 Pre-Funded Warrants</w:t>
      </w:r>
    </w:p>
    <w:p>
      <w:pPr>
        <w:spacing w:after="0" w:line="21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722630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3"/>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5"/>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lowerLetter"/>
      <w:start w:val="1"/>
    </w:lvl>
  </w:abstractNum>
  <w:abstractNum w:abstractNumId="23">
    <w:nsid w:val="7C3DBD3D"/>
    <w:multiLevelType w:val="hybridMultilevel"/>
    <w:lvl w:ilvl="0">
      <w:lvlJc w:val="left"/>
      <w:lvlText w:val="(%1)"/>
      <w:numFmt w:val="lowerRoman"/>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lowerRoman"/>
      <w:start w:val="3"/>
    </w:lvl>
    <w:lvl w:ilvl="1">
      <w:lvlJc w:val="left"/>
      <w:lvlText w:val="●"/>
      <w:numFmt w:val="bullet"/>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39" Type="http://schemas.openxmlformats.org/officeDocument/2006/relationships/hyperlink" Target="http://www.sec.gov/ix?doc=/Archives/edgar/data/0001954594/000121390025100369/ea0261580-20f_haoxi.htm" TargetMode="External"/><Relationship Id="rId40" Type="http://schemas.openxmlformats.org/officeDocument/2006/relationships/hyperlink" Target="http://www.sec.gov/Archives/edgar/data/1954594/000121390025102164/ea0262030-6k_haoxi.htm" TargetMode="External"/><Relationship Id="rId41" Type="http://schemas.openxmlformats.org/officeDocument/2006/relationships/hyperlink" Target="http://www.sec.gov/Archives/edgar/data/1954594/000121390025109213/ea0264150-6k_haoxi.htm" TargetMode="External"/><Relationship Id="rId42" Type="http://schemas.openxmlformats.org/officeDocument/2006/relationships/hyperlink" Target="http://www.sec.gov/Archives/edgar/data/1954594/000121390025117887/ea0267522-6k_haoxi.htm" TargetMode="External"/><Relationship Id="rId43" Type="http://schemas.openxmlformats.org/officeDocument/2006/relationships/hyperlink" Target="http://www.sec.gov/Archives/edgar/data/1954594/000121390025120070/ea0269110-6k_haoxi.htm" TargetMode="External"/><Relationship Id="rId44" Type="http://schemas.openxmlformats.org/officeDocument/2006/relationships/hyperlink" Target="http://www.sec.gov/Archives/edgar/data/1954594/000121390026007329/ea0273826-6k_haoxi.htm" TargetMode="External"/><Relationship Id="rId45" Type="http://schemas.openxmlformats.org/officeDocument/2006/relationships/hyperlink" Target="http://www.sec.gov/Archives/edgar/data/1954594/000121390026014275/ea0276359-6k_haoxi.htm" TargetMode="External"/><Relationship Id="rId46" Type="http://schemas.openxmlformats.org/officeDocument/2006/relationships/hyperlink" Target="http://www.sec.gov/Archives/edgar/data/1954594/000121390026024670/ea0280399-6k_haoxi.htm" TargetMode="External"/><Relationship Id="rId47" Type="http://schemas.openxmlformats.org/officeDocument/2006/relationships/hyperlink" Target="http://www.sec.gov/Archives/edgar/data/1954594/000121390026040534/ea0284995-6k_haoxi.htm" TargetMode="External"/><Relationship Id="rId48" Type="http://schemas.openxmlformats.org/officeDocument/2006/relationships/hyperlink" Target="http://www.sec.gov/ix?doc=/Archives/edgar/data/1954594/000121390026046610/ea0287058-6k_haoxi.htm" TargetMode="External"/><Relationship Id="rId49" Type="http://schemas.openxmlformats.org/officeDocument/2006/relationships/hyperlink" Target="http://www.sec.gov/Archives/edgar/data/1954594/000121390024005918/ea192093-8a12b_haoxi.htm" TargetMode="External"/><Relationship Id="rId99" Type="http://schemas.openxmlformats.org/officeDocument/2006/relationships/hyperlink" Target="http://www.sec.gov/ix?doc=/Archives/edgar/data/1954594/000121390024091443/ea0218492-20f_haoxi.htm" TargetMode="External"/><Relationship Id="rId100" Type="http://schemas.openxmlformats.org/officeDocument/2006/relationships/hyperlink" Target="http://www.sec.gov/Archives/edgar/data/1954594/000121390025003419/ea0227588-6k_haoxi.htm" TargetMode="External"/><Relationship Id="rId101" Type="http://schemas.openxmlformats.org/officeDocument/2006/relationships/hyperlink" Target="http://www.sec.gov/Archives/edgar/data/1954594/000121390025031574/ea0238029-6k_haoxi.htm" TargetMode="External"/><Relationship Id="rId102" Type="http://schemas.openxmlformats.org/officeDocument/2006/relationships/hyperlink" Target="http://www.sec.gov/ix?doc=/Archives/edgar/data/1954594/000121390025034629/ea0237634-6k_haoxi.htm" TargetMode="External"/><Relationship Id="rId103" Type="http://schemas.openxmlformats.org/officeDocument/2006/relationships/hyperlink" Target="http://www.sec.gov/Archives/edgar/data/1954594/000121390024052441/ea0207663-f1_haox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2026-05-12T08:12:24Z</dcterms:created>
  <dcterms:modified xsi:type="dcterms:W3CDTF">2026-05-12T08:12:24Z</dcterms:modified>
</cp:coreProperties>
</file>