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Form 6-K</w:t>
      </w:r>
    </w:p>
    <w:p>
      <w:pPr>
        <w:spacing w:after="0" w:line="21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w:t>
      </w:r>
    </w:p>
    <w:p>
      <w:pPr>
        <w:spacing w:after="0" w:line="4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For the month of May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 001-41933</w:t>
      </w:r>
    </w:p>
    <w:p>
      <w:pPr>
        <w:spacing w:after="0" w:line="21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u w:val="single" w:color="auto"/>
          <w:color w:val="auto"/>
        </w:rPr>
        <w:t>Haoxi Health Technology Limited</w:t>
      </w:r>
    </w:p>
    <w:p>
      <w:pPr>
        <w:spacing w:after="0" w:line="2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801, Tower C, Floor 8, Building 103, Huizhongli, Chaoyang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Beijing,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Closing of A Registered Direct Offering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May 11, 2026, Haoxi Health Technology Limited, an exempted company incorporated under the laws of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entered into a certain securities purchase agreement with certain investors for the purchase and sale of an aggregate of 9,000,000 Class A ordinary shares, par value $0.0025 per share (the “</w:t>
      </w:r>
      <w:r>
        <w:rPr>
          <w:rFonts w:ascii="Times New Roman" w:cs="Times New Roman" w:eastAsia="Times New Roman" w:hAnsi="Times New Roman"/>
          <w:sz w:val="18"/>
          <w:szCs w:val="18"/>
          <w:b w:val="1"/>
          <w:bCs w:val="1"/>
          <w:color w:val="auto"/>
        </w:rPr>
        <w:t>Class A Ordinary Shares</w:t>
      </w:r>
      <w:r>
        <w:rPr>
          <w:rFonts w:ascii="Times New Roman" w:cs="Times New Roman" w:eastAsia="Times New Roman" w:hAnsi="Times New Roman"/>
          <w:sz w:val="18"/>
          <w:szCs w:val="18"/>
          <w:color w:val="auto"/>
        </w:rPr>
        <w:t>”) at an offering price of $0.25 per share, and 16,999,998 pre-funded warrants (the “</w:t>
      </w:r>
      <w:r>
        <w:rPr>
          <w:rFonts w:ascii="Times New Roman" w:cs="Times New Roman" w:eastAsia="Times New Roman" w:hAnsi="Times New Roman"/>
          <w:sz w:val="18"/>
          <w:szCs w:val="18"/>
          <w:b w:val="1"/>
          <w:bCs w:val="1"/>
          <w:color w:val="auto"/>
        </w:rPr>
        <w:t>Pre-Funded Warrants</w:t>
      </w:r>
      <w:r>
        <w:rPr>
          <w:rFonts w:ascii="Times New Roman" w:cs="Times New Roman" w:eastAsia="Times New Roman" w:hAnsi="Times New Roman"/>
          <w:sz w:val="18"/>
          <w:szCs w:val="18"/>
          <w:color w:val="auto"/>
        </w:rPr>
        <w:t>”, the Class A Ordinary Shares issuable upon the exercise thereof,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together with the Shares, the Pre-Funded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Warrants,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for gross proceeds of $6,455,799.51, before deducting placement agent fees and other estimated expenses payable by the Company. The purchase price for each Pre-Funded Warrant is equal to the public offering price for the Class A Shares less the $0.0026 per share exercise price of each such Pre-Funded Warrant which is $0.2474.</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Pre-Funded Warrants are immediately exercisable upon issuance. The exercise price per whole Class A Ordinary Share purchasable upon exercise of the Pre-Funded Warrants is $0.0026. Each Pre-Funded Warrant is exercisable to purchase 10.355 Class A Ordinary Shares. In total, the 16,999,998 Pre-Funded Warrants are exercisable to purchase up to 176,034,979 Class A Ordinary Shares.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Securities are being offered pursuant to a base prospectus, dated June 13, 2025 and a prospectus supplement, dated May 11, 2026, that forms a part of the Company’s shelf registration statement on Form F-3, as amended (File No. 333-287686)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which Registration Statement was declared effective by the Securities and Exchange Commission on June 13, 2025.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Securities Purchase Agreement, the Company has agreed, for a period beginning on the date of the Securities Purchase Agreement and ending on thirty (30) days following the closing date, not to (i) issue or enter into an agreement to issue any Ordinary Shares or Ordinary Share Equivalents (as defined in the Securities Purchase Agreement), or (ii) file any registration statement or amendment or supplement thereto, subject to certain exceptions,. The Company has also agreed not to enter into or effect any Variable Rate Transaction (as defined in the Securities Purchase Agreement) for a period beginning on the date of the Securities Purchase Agreement and ending on thirty (30) days following the closing date.</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In connection with the offering, the Company entered into a placement agency agreement (the “</w:t>
      </w:r>
      <w:r>
        <w:rPr>
          <w:rFonts w:ascii="Times New Roman" w:cs="Times New Roman" w:eastAsia="Times New Roman" w:hAnsi="Times New Roman"/>
          <w:sz w:val="18"/>
          <w:szCs w:val="18"/>
          <w:b w:val="1"/>
          <w:bCs w:val="1"/>
          <w:color w:val="auto"/>
        </w:rPr>
        <w:t>Placement Agency Agreement</w:t>
      </w:r>
      <w:r>
        <w:rPr>
          <w:rFonts w:ascii="Times New Roman" w:cs="Times New Roman" w:eastAsia="Times New Roman" w:hAnsi="Times New Roman"/>
          <w:sz w:val="18"/>
          <w:szCs w:val="18"/>
          <w:color w:val="auto"/>
        </w:rPr>
        <w:t>”) with Univest Securities, LLC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on May 11, 2026, pursuant to which the Placement Agent acted as sole placement agent for this offering and would receive at the closing of the offering a cash fee equal to 7% of the gross proceeds, a non-accountable expenses allowance of 0.5% of the gross proceeds of the offering and reimbursement for legal fees and other out-of-pocket fees, costs and expenses in the amount of up to $80,000.</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on May 11, 2026, each of the directors and officers of the Company, as well as shareholders who beneficially own more than 5% of the issued and outstanding Class A Ordinary Shares, entered into a certain lock-up agreements (the “</w:t>
      </w:r>
      <w:r>
        <w:rPr>
          <w:rFonts w:ascii="Times New Roman" w:cs="Times New Roman" w:eastAsia="Times New Roman" w:hAnsi="Times New Roman"/>
          <w:sz w:val="18"/>
          <w:szCs w:val="18"/>
          <w:b w:val="1"/>
          <w:bCs w:val="1"/>
          <w:color w:val="auto"/>
        </w:rPr>
        <w:t>Lock-Up Agreements</w:t>
      </w:r>
      <w:r>
        <w:rPr>
          <w:rFonts w:ascii="Times New Roman" w:cs="Times New Roman" w:eastAsia="Times New Roman" w:hAnsi="Times New Roman"/>
          <w:sz w:val="18"/>
          <w:szCs w:val="18"/>
          <w:color w:val="auto"/>
        </w:rPr>
        <w:t>”), pursuant to which each of them has agreed, among other things, not to sell or dispose of any Ordinary Shares which are or will be beneficially owned by them for ninety (90) days following the closing of the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offering closed on May 12, 2026. As of May 12, 2026, the Company issued an aggregate of 146,445,353 Class A Ordinary Shares, consisting of 9,000,000 Class A Ordinary Shares issued pursuant to the Securities Purchase Agreement and 137,445,353 Class A Ordinary Shares upon exercise of 13,273,332 Pre-Funded Warrants. As of May 12, 2026, the Company has 205,198,381 Class A Ordinary Shares and 690,800 Class B Ordinary Shares issued and outstanding.</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intends to use the net proceeds from the offering for working capital and general corporate purposes. However, the management of the Company will have discretion in allocating the net proceeds in accordance with the above priorities and purposes, depending on general operating costs and expenditures and the changing needs of the Company’s business.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Copies of the (i) form of Pre-Funded Warrant, (ii) form of Securities Purchase Agreement, (iii) Placement Agency Agreement, and (vi) form lock-up agreement are attached hereto as Exhibits 4.1, 10.1, 10.2, and 10.3, respectively, and are incorporated by reference herein. The foregoing summaries of the terms of each agreement mentioned above are subject to, and qualified in their entirety by, such documents. A copy of the opinion of Ogier, as Cayman Islands counsel to the Company, regarding the legality of the issuance and allotment of the Securities is attached hereto as Exhibit 5.1 and is incorporated by reference herein.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report does not constitute an offer to sell, or the solicitation of an offer to buy, nor shall there be any sale of these securities in any state or jurisdiction in which such offer, solicitation, or sale would be unlawful prior to the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Certain statements in this current report on Form 6-K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in its other filings with the SEC.</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3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3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Pre-Funded Warrants</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tcBorders>
              <w:top w:val="single" w:sz="8" w:color="CCEEFF"/>
            </w:tcBorders>
          </w:tcPr>
          <w:p>
            <w:pPr>
              <w:spacing w:after="0"/>
              <w:rPr>
                <w:sz w:val="15"/>
                <w:szCs w:val="15"/>
                <w:color w:val="auto"/>
              </w:rPr>
            </w:pPr>
          </w:p>
        </w:tc>
        <w:tc>
          <w:tcPr>
            <w:tcW w:w="2160" w:type="dxa"/>
            <w:vAlign w:val="bottom"/>
            <w:tcBorders>
              <w:top w:val="single" w:sz="8" w:color="0000EE"/>
            </w:tcBorders>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Opinion of Ogier</w:t>
            </w:r>
          </w:p>
        </w:tc>
        <w:tc>
          <w:tcPr>
            <w:tcW w:w="7940" w:type="dxa"/>
            <w:vAlign w:val="bottom"/>
            <w:tcBorders>
              <w:top w:val="single" w:sz="8" w:color="CCEEFF"/>
            </w:tcBorders>
            <w:gridSpan w:val="4"/>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5"/>
                <w:szCs w:val="15"/>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Securities Purchase Agreement</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5"/>
                <w:szCs w:val="15"/>
                <w:color w:val="auto"/>
              </w:rPr>
            </w:pPr>
          </w:p>
        </w:tc>
        <w:tc>
          <w:tcPr>
            <w:tcW w:w="1010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Placement Agency Agreement, dated May 11, 2026</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5"/>
                <w:szCs w:val="15"/>
                <w:color w:val="auto"/>
              </w:rPr>
            </w:pPr>
          </w:p>
        </w:tc>
        <w:tc>
          <w:tcPr>
            <w:tcW w:w="1010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Lock-Up Agreement</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Pr>
          <w:p>
            <w:pPr>
              <w:spacing w:after="0"/>
              <w:rPr>
                <w:sz w:val="15"/>
                <w:szCs w:val="15"/>
                <w:color w:val="auto"/>
              </w:rPr>
            </w:pPr>
          </w:p>
        </w:tc>
        <w:tc>
          <w:tcPr>
            <w:tcW w:w="3060" w:type="dxa"/>
            <w:vAlign w:val="bottom"/>
            <w:tcBorders>
              <w:bottom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Ogier (included in Exhibit 5.1)</w:t>
            </w:r>
          </w:p>
        </w:tc>
        <w:tc>
          <w:tcPr>
            <w:tcW w:w="7040" w:type="dxa"/>
            <w:vAlign w:val="bottom"/>
            <w:gridSpan w:val="2"/>
          </w:tcPr>
          <w:p>
            <w:pPr>
              <w:spacing w:after="0"/>
              <w:rPr>
                <w:sz w:val="15"/>
                <w:szCs w:val="15"/>
                <w:color w:val="auto"/>
              </w:rPr>
            </w:pPr>
          </w:p>
        </w:tc>
      </w:tr>
      <w:tr>
        <w:trPr>
          <w:trHeight w:val="675"/>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gridSpan w:val="7"/>
          </w:tcPr>
          <w:p>
            <w:pPr>
              <w:ind w:left="444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2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tc>
      </w:tr>
      <w:tr>
        <w:trPr>
          <w:trHeight w:val="43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2026</w:t>
            </w:r>
          </w:p>
        </w:tc>
        <w:tc>
          <w:tcPr>
            <w:tcW w:w="380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Zhen Fan</w:t>
            </w:r>
          </w:p>
        </w:tc>
      </w:tr>
      <w:tr>
        <w:trPr>
          <w:trHeight w:val="198"/>
        </w:trPr>
        <w:tc>
          <w:tcPr>
            <w:tcW w:w="3520" w:type="dxa"/>
            <w:vAlign w:val="bottom"/>
          </w:tcPr>
          <w:p>
            <w:pPr>
              <w:spacing w:after="0"/>
              <w:rPr>
                <w:sz w:val="17"/>
                <w:szCs w:val="17"/>
                <w:color w:val="auto"/>
              </w:rPr>
            </w:pPr>
          </w:p>
        </w:tc>
        <w:tc>
          <w:tcPr>
            <w:tcW w:w="3800" w:type="dxa"/>
            <w:vAlign w:val="bottom"/>
          </w:tcPr>
          <w:p>
            <w:pPr>
              <w:ind w:left="322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Zhen Fan</w:t>
            </w:r>
          </w:p>
        </w:tc>
      </w:tr>
      <w:tr>
        <w:trPr>
          <w:trHeight w:val="234"/>
        </w:trPr>
        <w:tc>
          <w:tcPr>
            <w:tcW w:w="3520" w:type="dxa"/>
            <w:vAlign w:val="bottom"/>
          </w:tcPr>
          <w:p>
            <w:pPr>
              <w:spacing w:after="0"/>
              <w:rPr>
                <w:sz w:val="20"/>
                <w:szCs w:val="20"/>
                <w:color w:val="auto"/>
              </w:rPr>
            </w:pPr>
          </w:p>
        </w:tc>
        <w:tc>
          <w:tcPr>
            <w:tcW w:w="380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55"/>
        </w:trPr>
        <w:tc>
          <w:tcPr>
            <w:tcW w:w="352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3</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ind w:left="1040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PRE-FUNDED ORDNIARY SHARE PURCHASE WARRANT</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ectPr>
          <w:pgSz w:w="11900" w:h="16838" w:orient="portrait"/>
          <w:cols w:equalWidth="0" w:num="1">
            <w:col w:w="11240"/>
          </w:cols>
          <w:pgMar w:left="320" w:top="117" w:right="339" w:bottom="1440" w:gutter="0" w:footer="0" w:header="0"/>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Warrant Shares: [______] Class A Ordinary Shares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Initial Exercise Date: [___], 2026</w:t>
      </w:r>
    </w:p>
    <w:p>
      <w:pPr>
        <w:spacing w:after="0" w:line="200" w:lineRule="exact"/>
        <w:rPr>
          <w:sz w:val="20"/>
          <w:szCs w:val="20"/>
          <w:color w:val="auto"/>
        </w:rPr>
      </w:pPr>
    </w:p>
    <w:p>
      <w:pPr>
        <w:sectPr>
          <w:pgSz w:w="11900" w:h="16838" w:orient="portrait"/>
          <w:cols w:equalWidth="0" w:num="2">
            <w:col w:w="8100" w:space="720"/>
            <w:col w:w="2420"/>
          </w:cols>
          <w:pgMar w:left="320" w:top="117" w:right="339" w:bottom="1440" w:gutter="0" w:footer="0" w:header="0"/>
          <w:type w:val="continuous"/>
        </w:sectPr>
      </w:pP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THIS PRE-FUNDED ORDINARY SHARE PURCHASE WARRANT (the “</w:t>
      </w:r>
      <w:r>
        <w:rPr>
          <w:rFonts w:ascii="Times New Roman" w:cs="Times New Roman" w:eastAsia="Times New Roman" w:hAnsi="Times New Roman"/>
          <w:sz w:val="18"/>
          <w:szCs w:val="18"/>
          <w:u w:val="single" w:color="auto"/>
          <w:color w:val="auto"/>
        </w:rPr>
        <w:t>Warrant</w:t>
      </w:r>
      <w:r>
        <w:rPr>
          <w:rFonts w:ascii="Times New Roman" w:cs="Times New Roman" w:eastAsia="Times New Roman" w:hAnsi="Times New Roman"/>
          <w:sz w:val="18"/>
          <w:szCs w:val="18"/>
          <w:color w:val="auto"/>
        </w:rPr>
        <w:t>”) certifies that, for value received, [____] or its</w:t>
      </w:r>
    </w:p>
    <w:p>
      <w:pPr>
        <w:spacing w:after="0" w:line="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is entitled, upon the terms and subject to the limitations on exercise and the conditions hereinafter set forth, at any time on or after the date hereof (the “</w:t>
      </w:r>
      <w:r>
        <w:rPr>
          <w:rFonts w:ascii="Times New Roman" w:cs="Times New Roman" w:eastAsia="Times New Roman" w:hAnsi="Times New Roman"/>
          <w:sz w:val="18"/>
          <w:szCs w:val="18"/>
          <w:u w:val="single" w:color="auto"/>
          <w:color w:val="auto"/>
        </w:rPr>
        <w:t>Initial Exercise Date</w:t>
      </w:r>
      <w:r>
        <w:rPr>
          <w:rFonts w:ascii="Times New Roman" w:cs="Times New Roman" w:eastAsia="Times New Roman" w:hAnsi="Times New Roman"/>
          <w:sz w:val="18"/>
          <w:szCs w:val="18"/>
          <w:color w:val="auto"/>
        </w:rPr>
        <w:t>”) and until this Warrant is exercised in full (the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but not thereafter, to subscribe for and purchase from Haoxi Health Technology Limited, a Cayman Islands exempted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up to [______] (as subject to adjustment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hereunder, the “</w:t>
      </w:r>
      <w:r>
        <w:rPr>
          <w:rFonts w:ascii="Times New Roman" w:cs="Times New Roman" w:eastAsia="Times New Roman" w:hAnsi="Times New Roman"/>
          <w:sz w:val="18"/>
          <w:szCs w:val="18"/>
          <w:u w:val="single" w:color="auto"/>
          <w:color w:val="auto"/>
        </w:rPr>
        <w:t>Warrant Shares</w:t>
      </w:r>
      <w:r>
        <w:rPr>
          <w:rFonts w:ascii="Times New Roman" w:cs="Times New Roman" w:eastAsia="Times New Roman" w:hAnsi="Times New Roman"/>
          <w:sz w:val="18"/>
          <w:szCs w:val="18"/>
          <w:color w:val="auto"/>
        </w:rPr>
        <w:t xml:space="preserve">”) Ordinary Shares. </w:t>
      </w:r>
      <w:r>
        <w:rPr>
          <w:rFonts w:ascii="Times New Roman" w:cs="Times New Roman" w:eastAsia="Times New Roman" w:hAnsi="Times New Roman"/>
          <w:sz w:val="18"/>
          <w:szCs w:val="18"/>
          <w:b w:val="1"/>
          <w:bCs w:val="1"/>
          <w:color w:val="auto"/>
        </w:rPr>
        <w:t>Notwithstanding anything herein to the contrary, upon any exercise of this Warrant, the 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shall be entitled to receive the number of Warrant Shares determined in accordance with Section 2(b) and 2(c), as in effect on the Exercise Date, which number shall exceed the stated amount above in connection with a “cash” exercise of this Warrant.</w:t>
      </w:r>
    </w:p>
    <w:p>
      <w:pPr>
        <w:spacing w:after="0" w:line="18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and not otherwise defined herein shall have the meanings set forth in that certain Securities Purchase Agreement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dated May 11, 2026, among the Company and the underwriter signatory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644"/>
        <w:spacing w:after="0" w:line="252" w:lineRule="auto"/>
        <w:tabs>
          <w:tab w:leader="none" w:pos="1493"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Warrant</w:t>
      </w:r>
      <w:r>
        <w:rPr>
          <w:rFonts w:ascii="Times New Roman" w:cs="Times New Roman" w:eastAsia="Times New Roman" w:hAnsi="Times New Roman"/>
          <w:sz w:val="18"/>
          <w:szCs w:val="18"/>
          <w:color w:val="auto"/>
        </w:rPr>
        <w:t>. Exercise of the purchase rights represented by this Warrant may be made, in whole or in part, at any time or times on or after the Initial Exercise Date and on or before the Termination Date by delivery to the Company of a duly executed PDF copy submitted by e-mail (or e-mail attachment) of the Notice of Exercise in the form annexed hereto (the “</w:t>
      </w:r>
      <w:r>
        <w:rPr>
          <w:rFonts w:ascii="Times New Roman" w:cs="Times New Roman" w:eastAsia="Times New Roman" w:hAnsi="Times New Roman"/>
          <w:sz w:val="18"/>
          <w:szCs w:val="18"/>
          <w:u w:val="single" w:color="auto"/>
          <w:color w:val="auto"/>
        </w:rPr>
        <w:t>Notice of Exercise</w:t>
      </w:r>
      <w:r>
        <w:rPr>
          <w:rFonts w:ascii="Times New Roman" w:cs="Times New Roman" w:eastAsia="Times New Roman" w:hAnsi="Times New Roman"/>
          <w:sz w:val="18"/>
          <w:szCs w:val="18"/>
          <w:color w:val="auto"/>
        </w:rPr>
        <w:t xml:space="preserve">”). Within the earlier of (i) one (1) Trading Day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as soon as reasonably practicable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Times New Roman" w:cs="Times New Roman" w:eastAsia="Times New Roman" w:hAnsi="Times New Roman"/>
          <w:sz w:val="18"/>
          <w:szCs w:val="18"/>
          <w:b w:val="1"/>
          <w:bCs w:val="1"/>
          <w:color w:val="auto"/>
        </w:rPr>
        <w:t>The Holder and any assignee, by acceptance of this Warrant, acknowledge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193" w:lineRule="exact"/>
        <w:rPr>
          <w:rFonts w:ascii="Times New Roman" w:cs="Times New Roman" w:eastAsia="Times New Roman" w:hAnsi="Times New Roman"/>
          <w:sz w:val="18"/>
          <w:szCs w:val="18"/>
          <w:color w:val="auto"/>
        </w:rPr>
      </w:pPr>
    </w:p>
    <w:p>
      <w:pPr>
        <w:jc w:val="both"/>
        <w:ind w:left="660" w:firstLine="644"/>
        <w:spacing w:after="0" w:line="254" w:lineRule="auto"/>
        <w:tabs>
          <w:tab w:leader="none" w:pos="1516"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color w:val="auto"/>
        </w:rPr>
        <w:t>. The aggregate exercise price of this Warrant, except for a nominal exercise price of US$0.0026 per stated Warrant Share, was pre-funded to the Company on or prior to the Initial Exercise Date and, consequently, no additional consideration (other than the nominal exercise price of US$0.0026 per Warrant Share) shall be required to be paid by the Holder to any Person to effect any exercise of this Warrant. The Holder shall not be entitled to the return or refund of all, or any portion, of such pre-paid aggregate exercise price under any circumstance or for any reason whatsoever, including in the event this Warrant shall not have been exercised prior to the Termination Date. The remaining unpaid exercise price per stated Warrant Share under this Warrant shall be US$0.0026, subject to adjustment hereunder (the “Exercise Price”); provided, however, that the number of Warrant Shares issued to the holder shall be equal to the product of (i) 10.355 and (ii) the number of Warrant Shares issuable upon exercise of this Warrant in accordance with the terms of the applicable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407670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jc w:val="both"/>
        <w:ind w:left="4" w:firstLine="644"/>
        <w:spacing w:after="0" w:line="266" w:lineRule="auto"/>
        <w:tabs>
          <w:tab w:leader="none" w:pos="83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Alternative Cashless Exercise.</w:t>
      </w:r>
      <w:r>
        <w:rPr>
          <w:rFonts w:ascii="Times New Roman" w:cs="Times New Roman" w:eastAsia="Times New Roman" w:hAnsi="Times New Roman"/>
          <w:sz w:val="18"/>
          <w:szCs w:val="18"/>
          <w:color w:val="auto"/>
        </w:rPr>
        <w:t xml:space="preserve"> This Warrant may also be exercised, in whole or in part, at such time by means of a “cashless exercise” in which the Holder shall be entitled to receive a number of Warrant Shares equal to the product of (i) 10.355 and (ii) the quotient obtained by dividing [(A-B) (X)] by (A), where:</w:t>
      </w:r>
    </w:p>
    <w:p>
      <w:pPr>
        <w:spacing w:after="0" w:line="175" w:lineRule="exact"/>
        <w:rPr>
          <w:rFonts w:ascii="Times New Roman" w:cs="Times New Roman" w:eastAsia="Times New Roman" w:hAnsi="Times New Roman"/>
          <w:sz w:val="18"/>
          <w:szCs w:val="18"/>
          <w:color w:val="auto"/>
        </w:rPr>
      </w:pPr>
    </w:p>
    <w:p>
      <w:pPr>
        <w:ind w:left="444" w:hanging="444"/>
        <w:spacing w:after="0" w:line="253" w:lineRule="auto"/>
        <w:tabs>
          <w:tab w:leader="none" w:pos="29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 of Regulation NMS promulgated under the federal securities laws) on such Trading Day, (ii) at the option of the Holder, either (y) the VWAP on the Trading Day immediately preceding the date of the applicable Notice of Exercise or (z) the Bid Price of the Ordinary Shares on the principal Trading Market as reported by Bloomberg L.P.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94"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Exercise Price of this Warrant, as adjusted hereunder; and</w:t>
      </w:r>
    </w:p>
    <w:p>
      <w:pPr>
        <w:spacing w:after="0" w:line="225" w:lineRule="exact"/>
        <w:rPr>
          <w:sz w:val="20"/>
          <w:szCs w:val="20"/>
          <w:color w:val="auto"/>
        </w:rPr>
      </w:pPr>
    </w:p>
    <w:p>
      <w:pPr>
        <w:ind w:left="444" w:hanging="444"/>
        <w:spacing w:after="0" w:line="282" w:lineRule="auto"/>
        <w:tabs>
          <w:tab w:leader="none" w:pos="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number of Warrant Shares that would be issuable upon exercise of this Warrant in accordance with the terms of this Warrant if such exercise were by means of a cash exercise rather than a cashless exercise.</w:t>
      </w:r>
    </w:p>
    <w:p>
      <w:pPr>
        <w:spacing w:after="0" w:line="162" w:lineRule="exact"/>
        <w:rPr>
          <w:sz w:val="20"/>
          <w:szCs w:val="20"/>
          <w:color w:val="auto"/>
        </w:rPr>
      </w:pPr>
    </w:p>
    <w:p>
      <w:pPr>
        <w:jc w:val="both"/>
        <w:ind w:left="4" w:firstLine="648"/>
        <w:spacing w:after="0" w:line="266" w:lineRule="auto"/>
        <w:rPr>
          <w:sz w:val="20"/>
          <w:szCs w:val="20"/>
          <w:color w:val="auto"/>
        </w:rPr>
      </w:pPr>
      <w:r>
        <w:rPr>
          <w:rFonts w:ascii="Times New Roman" w:cs="Times New Roman" w:eastAsia="Times New Roman" w:hAnsi="Times New Roman"/>
          <w:sz w:val="18"/>
          <w:szCs w:val="18"/>
          <w:color w:val="auto"/>
        </w:rPr>
        <w:t>If Warrant Shares are issued in such a cashless exercise, the parties acknowledge and agree that in accordance with Section 3(a)(9) of the Securities Act, the Warrant Shares shall take on the registered characteristics of the Warrant being exercised. The Company agrees not to take any position contrary to this Section 2(c).</w:t>
      </w:r>
    </w:p>
    <w:p>
      <w:pPr>
        <w:spacing w:after="0" w:line="176" w:lineRule="exact"/>
        <w:rPr>
          <w:sz w:val="20"/>
          <w:szCs w:val="20"/>
          <w:color w:val="auto"/>
        </w:rPr>
      </w:pPr>
    </w:p>
    <w:p>
      <w:pPr>
        <w:jc w:val="both"/>
        <w:ind w:left="4"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Bid Price</w:t>
      </w:r>
      <w:r>
        <w:rPr>
          <w:rFonts w:ascii="Times New Roman" w:cs="Times New Roman" w:eastAsia="Times New Roman" w:hAnsi="Times New Roman"/>
          <w:sz w:val="18"/>
          <w:szCs w:val="18"/>
          <w:color w:val="auto"/>
        </w:rPr>
        <w:t>” means, for any date, the price determined by the first of the following clauses that applies: (a) if the Ordinary Shares are then listed or quoted on a Trading Market, the bid price of the Ordinary Shares for the time in question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an Ordinary Share as determined by an independent appraiser selected in good faith by the Purchasers of a majority in interest of the Warrants then outstanding and reasonably acceptable to the Company, the fees and expenses of which shall be paid by the Company.</w:t>
      </w:r>
    </w:p>
    <w:p>
      <w:pPr>
        <w:spacing w:after="0" w:line="188"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VWAP</w:t>
      </w:r>
      <w:r>
        <w:rPr>
          <w:rFonts w:ascii="Times New Roman" w:cs="Times New Roman" w:eastAsia="Times New Roman" w:hAnsi="Times New Roman"/>
          <w:sz w:val="18"/>
          <w:szCs w:val="18"/>
          <w:color w:val="auto"/>
        </w:rPr>
        <w:t>” means, for any date, the price determined by the first of the following clauses that applies: (a) if the Ordinary Shares are then listed or quoted on a Trading Market, the daily volume weighted average price of the Ordinary Shares for such date (or the nearest preceding date) on the Trading Market on which the Ordinary Shares are then listed or quoted as reported by Bloomberg (based on a Trading Day from 9:30 a.m. (New York City time) to 4:02 p.m. (New York City time)), (b) if OTCQB or OTCQX is not a Trading Market, the volume weighted average price of the Ordinary Shares for such date (or the nearest preceding date) on OTCQB or OTCQX as applicable, (c) if the Ordinary Shares are not then listed or quoted for trading on OTCQB or OTCQX and if prices for the Ordinary Shares are then reported on The Pink Open Market (or a similar organization or agency succeeding to its functions of reporting prices), the most recent bid price per Ordinary Share so reported, or (d) in all other cases, the fair market value of a Ordinary Share as determined by an independent appraiser selected in good faith by the Purchasers of a majority in interest of the Warrants then outstanding and reasonably acceptable to the Company, the fees and expenses of which shall be paid by the Company.</w:t>
      </w:r>
    </w:p>
    <w:p>
      <w:pPr>
        <w:spacing w:after="0" w:line="200" w:lineRule="exact"/>
        <w:rPr>
          <w:sz w:val="20"/>
          <w:szCs w:val="20"/>
          <w:color w:val="auto"/>
        </w:rPr>
      </w:pPr>
    </w:p>
    <w:p>
      <w:pPr>
        <w:spacing w:after="0" w:line="210"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6" w:name="page7"/>
    <w:bookmarkEnd w:id="6"/>
    <w:p>
      <w:pPr>
        <w:ind w:firstLine="64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on the Termination Date, this Warrant shall be automatically exercised via cashless exercise pursuant to this Section 2(c).</w:t>
      </w:r>
    </w:p>
    <w:p>
      <w:pPr>
        <w:spacing w:after="0" w:line="162" w:lineRule="exact"/>
        <w:rPr>
          <w:sz w:val="20"/>
          <w:szCs w:val="20"/>
          <w:color w:val="auto"/>
        </w:rPr>
      </w:pPr>
    </w:p>
    <w:p>
      <w:pPr>
        <w:ind w:left="840" w:hanging="196"/>
        <w:spacing w:after="0"/>
        <w:tabs>
          <w:tab w:leader="none" w:pos="8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Exercise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300" w:firstLine="640"/>
        <w:spacing w:after="0" w:line="251" w:lineRule="auto"/>
        <w:tabs>
          <w:tab w:leader="none" w:pos="208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Warrant Shares Upon Exercise</w:t>
      </w:r>
      <w:r>
        <w:rPr>
          <w:rFonts w:ascii="Times New Roman" w:cs="Times New Roman" w:eastAsia="Times New Roman" w:hAnsi="Times New Roman"/>
          <w:sz w:val="18"/>
          <w:szCs w:val="18"/>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if the Company is then a participant in such system and either (A) there is an effective registration statement permitting the issuance of the Warrant Shares to or resale of the Warrant Shares by the Holder or (B) the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one (1) Trading Day after the delivery to the Company of the Notice of Exercise, and (ii) the number of Trading Days comprising the Standard Settlement Period after the delivery to the Company of the Notice of Exercise (such date, the “</w:t>
      </w:r>
      <w:r>
        <w:rPr>
          <w:rFonts w:ascii="Times New Roman" w:cs="Times New Roman" w:eastAsia="Times New Roman" w:hAnsi="Times New Roman"/>
          <w:sz w:val="18"/>
          <w:szCs w:val="18"/>
          <w:u w:val="single" w:color="auto"/>
          <w:color w:val="auto"/>
        </w:rPr>
        <w:t>Warrant Share Delivery Date</w:t>
      </w:r>
      <w:r>
        <w:rPr>
          <w:rFonts w:ascii="Times New Roman" w:cs="Times New Roman" w:eastAsia="Times New Roman" w:hAnsi="Times New Roman"/>
          <w:sz w:val="18"/>
          <w:szCs w:val="18"/>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one (1) Trading Day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US$1,000 of Warrant Shares subject to such exercise (based on the VWAP of the Ordinary Shares on the date of the applicable Notice of Exercise), US$10 per Trading Day (increasing to US$20 per Trading Day on the third Trading Day after the Warrant Share Delivery Date)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Times New Roman" w:cs="Times New Roman" w:eastAsia="Times New Roman" w:hAnsi="Times New Roman"/>
          <w:sz w:val="18"/>
          <w:szCs w:val="18"/>
          <w:u w:val="single" w:color="auto"/>
          <w:color w:val="auto"/>
        </w:rPr>
        <w:t>Standard Settlement Period</w:t>
      </w:r>
      <w:r>
        <w:rPr>
          <w:rFonts w:ascii="Times New Roman" w:cs="Times New Roman" w:eastAsia="Times New Roman" w:hAnsi="Times New Roman"/>
          <w:sz w:val="18"/>
          <w:szCs w:val="18"/>
          <w:color w:val="auto"/>
        </w:rPr>
        <w:t>” means the standard settlement period, expressed in a number of Trading Days, on the Company’s primary Trading Market with respect to the Ordinary Shares as in effect on the date of delivery of the Notice of Exercise Notwithstanding the foregoing, with respect to any Notice(s) of Exercise delivered on or prior to 12:00 p.m. (New York City time) on the Initial Exercise Date, which may be delivered at any time after the time of execution of the Purchase Agreement, the Company agrees to deliver the Warrant Shares subject to such notice(s) by 4:00 p.m. (New York City time) on the Initial Exercise Date and the Initial Exercise Date shall be the Warrant Share Delivery Date for purposes hereunder, provided that payment of the aggregate Exercise Price (other than in the case of a cashless exercise) is received by such Warrant Share Delivery Date.</w:t>
      </w:r>
    </w:p>
    <w:p>
      <w:pPr>
        <w:spacing w:after="0" w:line="202" w:lineRule="exact"/>
        <w:rPr>
          <w:rFonts w:ascii="Times New Roman" w:cs="Times New Roman" w:eastAsia="Times New Roman" w:hAnsi="Times New Roman"/>
          <w:sz w:val="18"/>
          <w:szCs w:val="18"/>
          <w:color w:val="auto"/>
        </w:rPr>
      </w:pPr>
    </w:p>
    <w:p>
      <w:pPr>
        <w:jc w:val="both"/>
        <w:ind w:left="1300" w:firstLine="640"/>
        <w:spacing w:after="0" w:line="261" w:lineRule="auto"/>
        <w:tabs>
          <w:tab w:leader="none" w:pos="215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New Warrants Upon Exercise</w:t>
      </w:r>
      <w:r>
        <w:rPr>
          <w:rFonts w:ascii="Times New Roman" w:cs="Times New Roman" w:eastAsia="Times New Roman" w:hAnsi="Times New Roman"/>
          <w:sz w:val="18"/>
          <w:szCs w:val="18"/>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396"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7" w:name="page8"/>
    <w:bookmarkEnd w:id="7"/>
    <w:p>
      <w:pPr>
        <w:ind w:left="840" w:firstLine="640"/>
        <w:spacing w:after="0" w:line="282" w:lineRule="auto"/>
        <w:tabs>
          <w:tab w:leader="none" w:pos="174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Rescission Rights</w:t>
      </w:r>
      <w:r>
        <w:rPr>
          <w:rFonts w:ascii="Times New Roman" w:cs="Times New Roman" w:eastAsia="Times New Roman" w:hAnsi="Times New Roman"/>
          <w:sz w:val="18"/>
          <w:szCs w:val="18"/>
          <w:color w:val="auto"/>
        </w:rPr>
        <w:t>. If the Company fails to cause the Transfer Agent to transmit to the Holder the Warrant Shares pursuant to Section 2(d)(i) by the Warrant Share Delivery Date, then the Holder will have the right to rescind such exercise.</w:t>
      </w:r>
    </w:p>
    <w:p>
      <w:pPr>
        <w:spacing w:after="0" w:line="161" w:lineRule="exact"/>
        <w:rPr>
          <w:rFonts w:ascii="Times New Roman" w:cs="Times New Roman" w:eastAsia="Times New Roman" w:hAnsi="Times New Roman"/>
          <w:sz w:val="18"/>
          <w:szCs w:val="18"/>
          <w:color w:val="auto"/>
        </w:rPr>
      </w:pPr>
    </w:p>
    <w:p>
      <w:pPr>
        <w:jc w:val="both"/>
        <w:ind w:left="840" w:firstLine="640"/>
        <w:spacing w:after="0" w:line="252" w:lineRule="auto"/>
        <w:tabs>
          <w:tab w:leader="none" w:pos="1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for Buy-In on Failure to Timely Deliver Warrant Shares Upon Exercise</w:t>
      </w:r>
      <w:r>
        <w:rPr>
          <w:rFonts w:ascii="Times New Roman" w:cs="Times New Roman" w:eastAsia="Times New Roman" w:hAnsi="Times New Roman"/>
          <w:sz w:val="18"/>
          <w:szCs w:val="18"/>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Ordinary Shares to deliver in satisfaction of a sale by the Holder of the Warrant Shares which the Holder anticipated receiving upon such exercise (a “</w:t>
      </w:r>
      <w:r>
        <w:rPr>
          <w:rFonts w:ascii="Times New Roman" w:cs="Times New Roman" w:eastAsia="Times New Roman" w:hAnsi="Times New Roman"/>
          <w:sz w:val="18"/>
          <w:szCs w:val="18"/>
          <w:u w:val="single" w:color="auto"/>
          <w:color w:val="auto"/>
        </w:rPr>
        <w:t>Buy-In</w:t>
      </w:r>
      <w:r>
        <w:rPr>
          <w:rFonts w:ascii="Times New Roman" w:cs="Times New Roman" w:eastAsia="Times New Roman" w:hAnsi="Times New Roman"/>
          <w:sz w:val="18"/>
          <w:szCs w:val="18"/>
          <w:color w:val="auto"/>
        </w:rPr>
        <w:t>”), then the Company shall (A) pay in cash to the Holder the amount, if any, by which (x) the Holder’s total purchase price (including brokerage commissions, if any) for the Ordinary Shares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Ordinary Shares that would have been issued had the Company timely complied with its exercise and delivery obligations hereunder. For example, if the Holder purchases Ordinary Shares having a total purchase price of US$11,000 to cover a Buy-In with respect to an attempted exercise of Ordinary Shares with an aggregate sale price giving rise to such purchase obligation of US$10,000, under clause (A) of the immediately preceding sentence the Company shall be required to pay the Holder US$1,000.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Ordinary Shares upon exercise of the Warrant as required pursuant to the terms hereof.</w:t>
      </w:r>
    </w:p>
    <w:p>
      <w:pPr>
        <w:spacing w:after="0" w:line="189" w:lineRule="exact"/>
        <w:rPr>
          <w:rFonts w:ascii="Times New Roman" w:cs="Times New Roman" w:eastAsia="Times New Roman" w:hAnsi="Times New Roman"/>
          <w:sz w:val="18"/>
          <w:szCs w:val="18"/>
          <w:color w:val="auto"/>
        </w:rPr>
      </w:pPr>
    </w:p>
    <w:p>
      <w:pPr>
        <w:jc w:val="both"/>
        <w:ind w:left="840" w:firstLine="640"/>
        <w:spacing w:after="0" w:line="261" w:lineRule="auto"/>
        <w:tabs>
          <w:tab w:leader="none" w:pos="16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Fractional Shares or Scrip</w:t>
      </w:r>
      <w:r>
        <w:rPr>
          <w:rFonts w:ascii="Times New Roman" w:cs="Times New Roman" w:eastAsia="Times New Roman" w:hAnsi="Times New Roman"/>
          <w:sz w:val="18"/>
          <w:szCs w:val="18"/>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179" w:lineRule="exact"/>
        <w:rPr>
          <w:rFonts w:ascii="Times New Roman" w:cs="Times New Roman" w:eastAsia="Times New Roman" w:hAnsi="Times New Roman"/>
          <w:sz w:val="18"/>
          <w:szCs w:val="18"/>
          <w:color w:val="auto"/>
        </w:rPr>
      </w:pPr>
    </w:p>
    <w:p>
      <w:pPr>
        <w:jc w:val="both"/>
        <w:ind w:left="840" w:firstLine="640"/>
        <w:spacing w:after="0" w:line="254" w:lineRule="auto"/>
        <w:tabs>
          <w:tab w:leader="none" w:pos="17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Charges, Taxes and Expenses</w:t>
      </w:r>
      <w:r>
        <w:rPr>
          <w:rFonts w:ascii="Times New Roman" w:cs="Times New Roman" w:eastAsia="Times New Roman" w:hAnsi="Times New Roman"/>
          <w:sz w:val="18"/>
          <w:szCs w:val="18"/>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200" w:lineRule="exact"/>
        <w:rPr>
          <w:sz w:val="20"/>
          <w:szCs w:val="20"/>
          <w:color w:val="auto"/>
        </w:rPr>
      </w:pPr>
    </w:p>
    <w:p>
      <w:pPr>
        <w:spacing w:after="0" w:line="20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8" w:name="page9"/>
    <w:bookmarkEnd w:id="8"/>
    <w:p>
      <w:pPr>
        <w:ind w:left="840" w:firstLine="640"/>
        <w:spacing w:after="0" w:line="282" w:lineRule="auto"/>
        <w:tabs>
          <w:tab w:leader="none" w:pos="176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Books</w:t>
      </w:r>
      <w:r>
        <w:rPr>
          <w:rFonts w:ascii="Times New Roman" w:cs="Times New Roman" w:eastAsia="Times New Roman" w:hAnsi="Times New Roman"/>
          <w:sz w:val="18"/>
          <w:szCs w:val="18"/>
          <w:color w:val="auto"/>
        </w:rPr>
        <w:t>. The Company will not close its shareholder books or records in any manner which prevents the timely exercise of this Warrant, pursuant to the terms hereof.</w:t>
      </w:r>
    </w:p>
    <w:p>
      <w:pPr>
        <w:spacing w:after="0" w:line="161" w:lineRule="exact"/>
        <w:rPr>
          <w:rFonts w:ascii="Times New Roman" w:cs="Times New Roman" w:eastAsia="Times New Roman" w:hAnsi="Times New Roman"/>
          <w:sz w:val="18"/>
          <w:szCs w:val="18"/>
          <w:color w:val="auto"/>
        </w:rPr>
      </w:pPr>
    </w:p>
    <w:p>
      <w:pPr>
        <w:jc w:val="both"/>
        <w:ind w:left="180" w:firstLine="652"/>
        <w:spacing w:after="0" w:line="251" w:lineRule="auto"/>
        <w:tabs>
          <w:tab w:leader="none" w:pos="10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Holder’s Exercise Limitations</w:t>
      </w:r>
      <w:r>
        <w:rPr>
          <w:rFonts w:ascii="Times New Roman" w:cs="Times New Roman" w:eastAsia="Times New Roman" w:hAnsi="Times New Roman"/>
          <w:sz w:val="18"/>
          <w:szCs w:val="18"/>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and any other Persons whose beneficial ownership of the Ordinary Shares would or could be aggregated with the Holder’s for the purposes of Section 13(d) of the Exchange Act (such Persons, “</w:t>
      </w:r>
      <w:r>
        <w:rPr>
          <w:rFonts w:ascii="Times New Roman" w:cs="Times New Roman" w:eastAsia="Times New Roman" w:hAnsi="Times New Roman"/>
          <w:sz w:val="18"/>
          <w:szCs w:val="18"/>
          <w:u w:val="single" w:color="auto"/>
          <w:color w:val="auto"/>
        </w:rPr>
        <w:t>Attribution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would beneficially own in excess of the Beneficial Ownership Limitation (as defined below). For purposes of the foregoing sentence, the number of Ordinary Shares beneficially owned by the Holder and its Affiliates and Attribution Parties shall include the number of Ordinary Shares issuable upon exercise of this Warrant with respect to which such determination is being made, but shall exclude the number of Ordinary Shares which would be issuable upon (i) exercise of the remaining, nonexercised portion of this Warrant beneficially owned by the Holder or any of its Affiliates or Attribution Parties and (ii) exercise or conversion of the unexercised or nonconverted portion of any other securities of the Company (including, without limitation, any other Ordinary Share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and shall have no liability for exercises of the Warrant that are not in compliance with the Beneficial Ownership Limitation, except to the extent the Holder relies on the number of outstanding Ordinary Shares that was provided by the Company. In addition, a determination as to any group status as contemplated above shall be determined in accordance with Section 13(d) of the Exchange Act and the rules and regulations promulgated thereunder and the Company shall have no obligation to verify or confirm the accuracy of such determination and shall have no liability for exercises of the Warrant that are not in compliance with the Beneficial Ownership Limitation, except to the extent the Holder relies on the number of outstanding Ordinary Shares that was provided by the Company. For purposes of this Section 2(e), in determining the number of outstanding Ordinary Shares, a Holder may rely on the number of outstanding Ordinary Shares as reflected in (A) the Company’s most recent periodic or annual report filed with the Commission, as the case may be, (B) a more recent public announcement by the Company or (C) a more recent written notice by the Company or the Transfer Agent setting forth the number of Ordinary Shares outstanding. Upon the written or oral request of a Holder, the Company shall within one Trading Day confirm orally and in writing to the Holder the number of Ordinary Shares then outstanding. In any case, the number of outstanding Ordinary Shares shall be determined after giving effect to the conversion or exercise of securities of the Company, including this Warrant, by the Holder or its Affiliates or Attribution Parties since the date as of which such number of outstanding Ordinary Shares was reported.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of the number of Ordinary Shares outstanding immediately after giving effect to the issuance of Ordinary Shares issuable upon exercise of this Warrant.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 If the Warrant is unexercisable as a result of the Holder’s Beneficial Ownership Limitation, no alternate consideration is owing to the Holder.</w:t>
      </w:r>
    </w:p>
    <w:p>
      <w:pPr>
        <w:spacing w:after="0" w:line="200" w:lineRule="exact"/>
        <w:rPr>
          <w:sz w:val="20"/>
          <w:szCs w:val="20"/>
          <w:color w:val="auto"/>
        </w:rPr>
      </w:pPr>
    </w:p>
    <w:p>
      <w:pPr>
        <w:spacing w:after="0" w:line="21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Certain Adjustments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4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Dividends and Splits</w:t>
      </w:r>
      <w:r>
        <w:rPr>
          <w:rFonts w:ascii="Times New Roman" w:cs="Times New Roman" w:eastAsia="Times New Roman" w:hAnsi="Times New Roman"/>
          <w:sz w:val="18"/>
          <w:szCs w:val="18"/>
          <w:color w:val="auto"/>
        </w:rPr>
        <w:t>. If the Company, at any time while this Warrant is outstanding: (i) pays a share dividend or otherwise makes a distribution or distributions on its Ordinary Shares or any other equity or equity equivalent securities payable in Ordinary Shares (which, for avoidance of doubt, shall not include any Ordinary Shares issued by the Company upon exercise of this Warrant), (ii) subdivides outstanding Ordinary Shares into a larger number of shares, (iii) combines (including by way of share consolidation) outstanding Ordinary Shares into a smaller number of shares, or (iv) issues by reclassification of the Ordinary Shares any shares of capital stock of the Company, then in each case the Exercise Price shall be multiplied by a fraction of which the numerator shall be the number of Ordinary Shares (excluding treasury shares, if any) outstanding immediately before such event and of which the denominator shall be the number of Ordinary Shares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shareholders entitled to receive such dividend or distribution and shall become effective immediately after the effective date in the case of a subdivision, combination or re-classification.</w:t>
      </w:r>
    </w:p>
    <w:p>
      <w:pPr>
        <w:spacing w:after="0" w:line="191" w:lineRule="exact"/>
        <w:rPr>
          <w:rFonts w:ascii="Times New Roman" w:cs="Times New Roman" w:eastAsia="Times New Roman" w:hAnsi="Times New Roman"/>
          <w:sz w:val="18"/>
          <w:szCs w:val="18"/>
          <w:color w:val="auto"/>
        </w:rPr>
      </w:pPr>
    </w:p>
    <w:p>
      <w:pPr>
        <w:ind w:left="840" w:hanging="196"/>
        <w:spacing w:after="0"/>
        <w:tabs>
          <w:tab w:leader="none" w:pos="8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644"/>
        <w:spacing w:after="0" w:line="254" w:lineRule="auto"/>
        <w:tabs>
          <w:tab w:leader="none" w:pos="83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If the Company, at any time while the Warrant is outstanding, shall issue rights, options or warrants to all holders of Ordinary Shares (and not to the Holder) entitling them to subscribe for or purchase Ordinary Shares at a price per share less than the VWAP on the record date mentioned below, then the Exercise Price shall be multiplied by a fraction, of which the denominator shall be the number of Ordinary Shares outstanding on the date of issuance of such rights, options or warrants plus the number of additional Ordinary Shares offered for subscription or purchase, and of which the numerator shall be the number of Ordinary Shares outstanding on the date of issuance of such rights, options or warrants plus the number of shares which the aggregate offering price of the total number of shares so offered (assuming receipt by the Company in full of all consideration payable upon exercise of such rights, options or warrants) would purchase at such VWAP. Such adjustment shall be made whenever such rights, options or warrants are issued, and shall become effective immediately after the record date for the determination of shareholders entitled to receive such rights, options or warrants.</w:t>
      </w:r>
    </w:p>
    <w:p>
      <w:pPr>
        <w:spacing w:after="0" w:line="188" w:lineRule="exact"/>
        <w:rPr>
          <w:rFonts w:ascii="Times New Roman" w:cs="Times New Roman" w:eastAsia="Times New Roman" w:hAnsi="Times New Roman"/>
          <w:sz w:val="18"/>
          <w:szCs w:val="18"/>
          <w:color w:val="auto"/>
        </w:rPr>
      </w:pPr>
    </w:p>
    <w:p>
      <w:pPr>
        <w:jc w:val="both"/>
        <w:ind w:firstLine="644"/>
        <w:spacing w:after="0" w:line="253" w:lineRule="auto"/>
        <w:tabs>
          <w:tab w:leader="none" w:pos="84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During such time as this Warrant is outstanding, if the Company shall declare or make any dividend or other distribution of its assets (or rights to acquire its assets) to holders of Ordinary Shares, by way of return of capital or otherwise (including, without limitation, any distribution of cash, shares or other securities, property or options by way of a dividend, spin off, reclassification, corporate rearrangement, scheme of arrangement or other similar transaction) (a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at any time after the issuance of this Warrant, then, in each such case, the Holder shall be entitled to participate in such Distribution to the same extent that the Holder would have participated therein if the Holder had held the number of Ordinary Shares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Ordinary Shares are to be determined for the participation in such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Ordinary Shares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200" w:lineRule="exact"/>
        <w:rPr>
          <w:sz w:val="20"/>
          <w:szCs w:val="20"/>
          <w:color w:val="auto"/>
        </w:rPr>
      </w:pPr>
    </w:p>
    <w:p>
      <w:pPr>
        <w:spacing w:after="0" w:line="20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both"/>
        <w:ind w:left="-460" w:firstLine="644"/>
        <w:spacing w:after="0" w:line="251" w:lineRule="auto"/>
        <w:tabs>
          <w:tab w:leader="none" w:pos="38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If, at any time while this Warrant is outstanding, (i) the Company, directly or indirectly, in one or more related transactions effects any merger or consolidation of the Company with or into another Person, (ii) the Company (or any Subsidiary),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Ordinary Shares are permitted to sell, tender or exchange their shares for other securities, cash or property and has been accepted by the holders of 50% or more of the outstanding Ordinary Shares or 50% or more of the voting power of the common equity of the Company, (iv) the Company, directly or indirectly, in one or more related transactions effects any reclassification, reorganization or recapitalization of the Ordinary Shares or any compulsory share exchange pursuant to which the Ordinary Shares are effectively converted into or exchanged for other securities, cash or property, or (v) the Company, directly or indirectly, in one or more related transactions consummates a share purchase agreement or other business combination (including, without limitation, a reorganization, recapitalization, spin-off, merger or scheme of arrangement) with another Person or group of Persons whereby such other Person or group acquires 50% or more of the outstanding Ordinary Shares or 50% or more of the voting power of the common equity of the Company (each a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Ordinary Shares of the successor or acquiring corporation or of the Company, if it is the surviving corporation, and any additional consideration (the “</w:t>
      </w:r>
      <w:r>
        <w:rPr>
          <w:rFonts w:ascii="Times New Roman" w:cs="Times New Roman" w:eastAsia="Times New Roman" w:hAnsi="Times New Roman"/>
          <w:sz w:val="18"/>
          <w:szCs w:val="18"/>
          <w:u w:val="single" w:color="auto"/>
          <w:color w:val="auto"/>
        </w:rPr>
        <w:t>Alternate Consideration</w:t>
      </w:r>
      <w:r>
        <w:rPr>
          <w:rFonts w:ascii="Times New Roman" w:cs="Times New Roman" w:eastAsia="Times New Roman" w:hAnsi="Times New Roman"/>
          <w:sz w:val="18"/>
          <w:szCs w:val="18"/>
          <w:color w:val="auto"/>
        </w:rPr>
        <w:t>”) receivable as a result of such Fundamental Transaction by a holder of the number of Ordinary Shares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Ordinary Share in such Fundamental Transaction, and the Company shall apportion the Exercise Price among the Alternate Consideration in a reasonable manner reflecting the relative value of any different components of the Alternate Consideration. If holders of Ordinary Shares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Times New Roman" w:cs="Times New Roman" w:eastAsia="Times New Roman" w:hAnsi="Times New Roman"/>
          <w:sz w:val="18"/>
          <w:szCs w:val="18"/>
          <w:u w:val="single" w:color="auto"/>
          <w:color w:val="auto"/>
        </w:rPr>
        <w:t>Successor Entity</w:t>
      </w:r>
      <w:r>
        <w:rPr>
          <w:rFonts w:ascii="Times New Roman" w:cs="Times New Roman" w:eastAsia="Times New Roman" w:hAnsi="Times New Roman"/>
          <w:sz w:val="18"/>
          <w:szCs w:val="18"/>
          <w:color w:val="auto"/>
        </w:rPr>
        <w:t>”) to assume in writing all of the obligations of the Company under this Warrant and the other Transaction Documents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Ordinary Shares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Ordinary Shares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be added to the term “Company” under this Warrant (so that from and after the occurrence or consummation of such Fundamental Transaction, each and every provision of this Warrant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Warrant and the other Transaction Documents with the same effect as if the Company and such Successor Entity or Successor Entities, jointly and severally, had been named as the Company herein. For the avoidance of doubt, the Holder shall be entitled to the benefits of the provisions of this Section 3(e) regardless of (i) whether the Company has sufficient authorized Ordinary Shares for the issuance of Warrant Shares and/or (ii) whether a Fundamental Transaction occurs prior to the Initial Exercise Date.</w:t>
      </w:r>
    </w:p>
    <w:p>
      <w:pPr>
        <w:spacing w:after="0" w:line="200" w:lineRule="exact"/>
        <w:rPr>
          <w:sz w:val="20"/>
          <w:szCs w:val="20"/>
          <w:color w:val="auto"/>
        </w:rPr>
      </w:pPr>
    </w:p>
    <w:p>
      <w:pPr>
        <w:spacing w:after="0" w:line="2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1" w:name="page12"/>
    <w:bookmarkEnd w:id="11"/>
    <w:p>
      <w:pPr>
        <w:jc w:val="both"/>
        <w:ind w:left="-460" w:firstLine="644"/>
        <w:spacing w:after="0" w:line="266" w:lineRule="auto"/>
        <w:tabs>
          <w:tab w:leader="none" w:pos="3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All calculations under this Section 3 shall be made to the nearest cent or the nearest 1/100th of a share, as the case may be. For purposes of this Section 3, the number of Ordinary Shares deemed to be issued and outstanding as of a given date shall be the sum of the number of Ordinary Shares (excluding treasury shares, if any) issued and outstanding.</w:t>
      </w:r>
    </w:p>
    <w:p>
      <w:pPr>
        <w:spacing w:after="0" w:line="175" w:lineRule="exact"/>
        <w:rPr>
          <w:rFonts w:ascii="Times New Roman" w:cs="Times New Roman" w:eastAsia="Times New Roman" w:hAnsi="Times New Roman"/>
          <w:sz w:val="18"/>
          <w:szCs w:val="18"/>
          <w:color w:val="auto"/>
        </w:rPr>
      </w:pPr>
    </w:p>
    <w:p>
      <w:pPr>
        <w:ind w:left="380" w:hanging="196"/>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Holder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840" w:firstLine="640"/>
        <w:spacing w:after="0" w:line="289" w:lineRule="auto"/>
        <w:tabs>
          <w:tab w:leader="none" w:pos="162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Adjustment to Exercise Price</w:t>
      </w:r>
      <w:r>
        <w:rPr>
          <w:rFonts w:ascii="Times New Roman" w:cs="Times New Roman" w:eastAsia="Times New Roman" w:hAnsi="Times New Roman"/>
          <w:sz w:val="17"/>
          <w:szCs w:val="17"/>
          <w:color w:val="auto"/>
        </w:rPr>
        <w:t>. Whenever the Exercise Price is adjusted pursuant to any provision of this Section 3, the Company shall promptly deliver to the Holder by email a notice setting forth the Exercise Price after such adjustment and any resulting adjustment to the number of Warrant Shares and setting forth a brief statement of the facts requiring such adjustment.</w:t>
      </w:r>
    </w:p>
    <w:p>
      <w:pPr>
        <w:spacing w:after="0" w:line="157" w:lineRule="exact"/>
        <w:rPr>
          <w:rFonts w:ascii="Times New Roman" w:cs="Times New Roman" w:eastAsia="Times New Roman" w:hAnsi="Times New Roman"/>
          <w:sz w:val="17"/>
          <w:szCs w:val="17"/>
          <w:color w:val="auto"/>
        </w:rPr>
      </w:pPr>
    </w:p>
    <w:p>
      <w:pPr>
        <w:jc w:val="both"/>
        <w:ind w:left="840" w:firstLine="640"/>
        <w:spacing w:after="0" w:line="252" w:lineRule="auto"/>
        <w:tabs>
          <w:tab w:leader="none" w:pos="1705"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to Allow Exercise by Holder</w:t>
      </w:r>
      <w:r>
        <w:rPr>
          <w:rFonts w:ascii="Times New Roman" w:cs="Times New Roman" w:eastAsia="Times New Roman" w:hAnsi="Times New Roman"/>
          <w:sz w:val="18"/>
          <w:szCs w:val="18"/>
          <w:color w:val="auto"/>
        </w:rPr>
        <w:t>. If (A) the Company shall declare a dividend (or any other distribution in whatever form) on the Ordinary Shares, (B) the Company shall declare a special nonrecurring cash dividend on or a redemption of the Ordinary Shares, (C) the Company shall authorize the granting to all holders of Ordinary Shares rights or warrants to subscribe for or purchase any shares of capital stock of any class or of any rights, (D) the approval of any shareholders of the Company shall be required in connection with any reclassification of the Ordinary Shares, any Fundamental Transaction, or (E) the Company shall authorize the voluntary or involuntary dissolution, liquidation or winding up of the affairs of the Company, then, in each case, the Company shall cause to be delivered by email to the Holder at its last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Ordinary Shares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Ordinary Shares of record shall be entitled to exchange their Ordinary Shares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provided, further that no notice shall be required if the information is disseminated in a press release or document filed with the Commission within such time period. To the extent that any notice provided in this Warrant constitutes, or contains, material, non-public information regarding the Company or any of the Subsidiaries, the Company shall simultaneously file such notice with the Commission pursuant to a Report on Form 6-K. The Holder shall remain entitled to exercise this Warrant during the period commencing on the date of such notice to the effective date of the event triggering such notice except as may otherwise be expressly set forth herein.</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38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Adjustment By Company</w:t>
      </w:r>
      <w:r>
        <w:rPr>
          <w:rFonts w:ascii="Times New Roman" w:cs="Times New Roman" w:eastAsia="Times New Roman" w:hAnsi="Times New Roman"/>
          <w:sz w:val="18"/>
          <w:szCs w:val="18"/>
          <w:color w:val="auto"/>
        </w:rPr>
        <w:t>. Subject to the rules and regulations of the Trading Market on which the Ordinary Shares are then listed and with the prior written consent of the Holder, the Company may at any time during the term of this Warrant reduce the then current Exercise Price to any amount and for any period of time deemed appropriate by the board of directors of the Company.</w:t>
      </w:r>
    </w:p>
    <w:p>
      <w:pPr>
        <w:spacing w:after="0" w:line="39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Transfer of Warrant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3" w:lineRule="auto"/>
        <w:tabs>
          <w:tab w:leader="none" w:pos="8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This Warrant and all rights hereunder (including, without limitation, any registration rights)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The Warrant, if properly assigned in accordance herewith, may be exercised by a new holder for the purchase of Warrant Shares without having a new Warrant issued.</w:t>
      </w:r>
    </w:p>
    <w:p>
      <w:pPr>
        <w:spacing w:after="0" w:line="191" w:lineRule="exact"/>
        <w:rPr>
          <w:rFonts w:ascii="Times New Roman" w:cs="Times New Roman" w:eastAsia="Times New Roman" w:hAnsi="Times New Roman"/>
          <w:sz w:val="18"/>
          <w:szCs w:val="18"/>
          <w:color w:val="auto"/>
        </w:rPr>
      </w:pPr>
    </w:p>
    <w:p>
      <w:pPr>
        <w:jc w:val="both"/>
        <w:ind w:firstLine="644"/>
        <w:spacing w:after="0" w:line="256" w:lineRule="auto"/>
        <w:tabs>
          <w:tab w:leader="none" w:pos="84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Warrants</w:t>
      </w:r>
      <w:r>
        <w:rPr>
          <w:rFonts w:ascii="Times New Roman" w:cs="Times New Roman" w:eastAsia="Times New Roman" w:hAnsi="Times New Roman"/>
          <w:sz w:val="18"/>
          <w:szCs w:val="18"/>
          <w:color w:val="auto"/>
        </w:rPr>
        <w:t>.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original Issue Date and shall be identical with this Warrant except as to the number of Warrant Shares issuable pursuant thereto.</w:t>
      </w:r>
    </w:p>
    <w:p>
      <w:pPr>
        <w:spacing w:after="0" w:line="187" w:lineRule="exact"/>
        <w:rPr>
          <w:rFonts w:ascii="Times New Roman" w:cs="Times New Roman" w:eastAsia="Times New Roman" w:hAnsi="Times New Roman"/>
          <w:sz w:val="18"/>
          <w:szCs w:val="18"/>
          <w:color w:val="auto"/>
        </w:rPr>
      </w:pPr>
    </w:p>
    <w:p>
      <w:pPr>
        <w:jc w:val="both"/>
        <w:ind w:firstLine="644"/>
        <w:spacing w:after="0" w:line="261" w:lineRule="auto"/>
        <w:tabs>
          <w:tab w:leader="none" w:pos="84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The Company shall register this Warrant, upon records to be maintained by the Company for that purpose (the “</w:t>
      </w:r>
      <w:r>
        <w:rPr>
          <w:rFonts w:ascii="Times New Roman" w:cs="Times New Roman" w:eastAsia="Times New Roman" w:hAnsi="Times New Roman"/>
          <w:sz w:val="18"/>
          <w:szCs w:val="18"/>
          <w:u w:val="single" w:color="auto"/>
          <w:color w:val="auto"/>
        </w:rPr>
        <w:t>Warrant Register</w:t>
      </w:r>
      <w:r>
        <w:rPr>
          <w:rFonts w:ascii="Times New Roman" w:cs="Times New Roman" w:eastAsia="Times New Roman" w:hAnsi="Times New Roman"/>
          <w:sz w:val="18"/>
          <w:szCs w:val="18"/>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4"/>
        <w:spacing w:after="0" w:line="258" w:lineRule="auto"/>
        <w:tabs>
          <w:tab w:leader="none" w:pos="8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Rights as Shareholder Until Exercise; No Settlement in Cash</w:t>
      </w:r>
      <w:r>
        <w:rPr>
          <w:rFonts w:ascii="Times New Roman" w:cs="Times New Roman" w:eastAsia="Times New Roman" w:hAnsi="Times New Roman"/>
          <w:sz w:val="18"/>
          <w:szCs w:val="18"/>
          <w:color w:val="auto"/>
        </w:rPr>
        <w:t>. This Warrant does not entitle the Holder to any voting rights, dividends or other rights as a shareholder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183" w:lineRule="exact"/>
        <w:rPr>
          <w:rFonts w:ascii="Times New Roman" w:cs="Times New Roman" w:eastAsia="Times New Roman" w:hAnsi="Times New Roman"/>
          <w:sz w:val="18"/>
          <w:szCs w:val="18"/>
          <w:color w:val="auto"/>
        </w:rPr>
      </w:pPr>
    </w:p>
    <w:p>
      <w:pPr>
        <w:jc w:val="both"/>
        <w:ind w:firstLine="644"/>
        <w:spacing w:after="0" w:line="258" w:lineRule="auto"/>
        <w:tabs>
          <w:tab w:leader="none" w:pos="84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Loss, Theft, Destruction or Mutilation of Warrant</w:t>
      </w:r>
      <w:r>
        <w:rPr>
          <w:rFonts w:ascii="Times New Roman" w:cs="Times New Roman" w:eastAsia="Times New Roman" w:hAnsi="Times New Roman"/>
          <w:sz w:val="18"/>
          <w:szCs w:val="18"/>
          <w:color w:val="auto"/>
        </w:rPr>
        <w:t>. The Company covenants that upon receipt by the Company of evidence reasonably satisfactory to it of the loss, theft, destruction or mutilation of this Warrant or any share certificate relating to the Warrant Shares, and in case of loss, theft or destruction, of indemnity or security reasonably satisfactory to it (which, in the case of the Warrant, shall not include the posting of any bond), and upon surrender and cancellation of such Warrant or share certificate, if mutilated, the Company will make and deliver a new Warrant or share certificate of like tenor and dated as of such cancellation, in lieu of such Warrant or share certificate.</w:t>
      </w:r>
    </w:p>
    <w:p>
      <w:pPr>
        <w:spacing w:after="0" w:line="183" w:lineRule="exact"/>
        <w:rPr>
          <w:rFonts w:ascii="Times New Roman" w:cs="Times New Roman" w:eastAsia="Times New Roman" w:hAnsi="Times New Roman"/>
          <w:sz w:val="18"/>
          <w:szCs w:val="18"/>
          <w:color w:val="auto"/>
        </w:rPr>
      </w:pPr>
    </w:p>
    <w:p>
      <w:pPr>
        <w:ind w:right="20" w:firstLine="644"/>
        <w:spacing w:after="0" w:line="282" w:lineRule="auto"/>
        <w:tabs>
          <w:tab w:leader="none" w:pos="8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3" w:name="page14"/>
    <w:bookmarkEnd w:id="13"/>
    <w:p>
      <w:pPr>
        <w:ind w:left="840" w:hanging="196"/>
        <w:spacing w:after="0"/>
        <w:tabs>
          <w:tab w:leader="none" w:pos="8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Authorized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The Company covenants that, during the period the Warrant is outstanding, it will reserve from its authorized and unissued Ordinary Shares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Ordinary Shares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94" w:lineRule="exact"/>
        <w:rPr>
          <w:sz w:val="20"/>
          <w:szCs w:val="20"/>
          <w:color w:val="auto"/>
        </w:rPr>
      </w:pPr>
    </w:p>
    <w:p>
      <w:pPr>
        <w:jc w:val="both"/>
        <w:ind w:left="640" w:firstLine="648"/>
        <w:spacing w:after="0" w:line="253" w:lineRule="auto"/>
        <w:rPr>
          <w:sz w:val="20"/>
          <w:szCs w:val="20"/>
          <w:color w:val="auto"/>
        </w:rPr>
      </w:pPr>
      <w:r>
        <w:rPr>
          <w:rFonts w:ascii="Times New Roman" w:cs="Times New Roman" w:eastAsia="Times New Roman" w:hAnsi="Times New Roman"/>
          <w:sz w:val="18"/>
          <w:szCs w:val="18"/>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(except for effecting a share combination in order to satisfy exchange listing requirements),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192" w:lineRule="exact"/>
        <w:rPr>
          <w:sz w:val="20"/>
          <w:szCs w:val="20"/>
          <w:color w:val="auto"/>
        </w:rPr>
      </w:pPr>
    </w:p>
    <w:p>
      <w:pPr>
        <w:jc w:val="both"/>
        <w:ind w:left="640" w:firstLine="648"/>
        <w:spacing w:after="0" w:line="266" w:lineRule="auto"/>
        <w:rPr>
          <w:sz w:val="20"/>
          <w:szCs w:val="20"/>
          <w:color w:val="auto"/>
        </w:rPr>
      </w:pPr>
      <w:r>
        <w:rPr>
          <w:rFonts w:ascii="Times New Roman" w:cs="Times New Roman" w:eastAsia="Times New Roman" w:hAnsi="Times New Roman"/>
          <w:sz w:val="18"/>
          <w:szCs w:val="18"/>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76" w:lineRule="exact"/>
        <w:rPr>
          <w:sz w:val="20"/>
          <w:szCs w:val="20"/>
          <w:color w:val="auto"/>
        </w:rPr>
      </w:pPr>
    </w:p>
    <w:p>
      <w:pPr>
        <w:jc w:val="both"/>
        <w:ind w:firstLine="644"/>
        <w:spacing w:after="0" w:line="253"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This Warrant shall be governed by and construed in accordance with the laws of the State of New York. The Company irrevocably (a) submits to the jurisdiction the federal courts of the United States of America or the courts of the State of New York, in each case located in the City of New York and County of New York, for the purpose of any suit, action, or other proceeding arising out of this Warrant, or any of the agreements or transactions contemplated by this or the Underwriting Agreement (each,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 agrees that all claims in respect of any Proceeding may be heard and determined in any such court, (c) waives, to the fullest extent permitted by law, any immunity from jurisdiction of any such court or from any legal process therein, (d) agrees not to commence any Proceeding other than in such courts, and (e) waives, to the fullest extent permitted by law, any claim that such Proceeding is brought in an inconvenient forum. THE COMPANY (ON</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BEHALF OF ITSELF AND, TO THE FULLEST EXTENT PERMITTED BY LAW, ON BEHALF OF ITS RESPECTIVE EQUITY HOLDERS AND CREDITORS) HEREBY WAIVES ANY RIGHT IT MAY HAVE TO A TRIAL BY JURY IN RESPECT OF ANY CLAIM BASED UPON, ARISING OUT OF OR IN CONNECTION WITH THIS WARRANT AND THE TRANSACTIONS CONTEMPLATED BY THIS WARRANT AND THE UNDERWRITING AGREEMENT.</w:t>
      </w:r>
    </w:p>
    <w:p>
      <w:pPr>
        <w:spacing w:after="0" w:line="188" w:lineRule="exact"/>
        <w:rPr>
          <w:rFonts w:ascii="Times New Roman" w:cs="Times New Roman" w:eastAsia="Times New Roman" w:hAnsi="Times New Roman"/>
          <w:sz w:val="18"/>
          <w:szCs w:val="18"/>
          <w:color w:val="auto"/>
        </w:rPr>
      </w:pPr>
    </w:p>
    <w:p>
      <w:pPr>
        <w:ind w:right="20" w:firstLine="644"/>
        <w:spacing w:after="0" w:line="282" w:lineRule="auto"/>
        <w:tabs>
          <w:tab w:leader="none" w:pos="8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w:t>
      </w:r>
      <w:r>
        <w:rPr>
          <w:rFonts w:ascii="Times New Roman" w:cs="Times New Roman" w:eastAsia="Times New Roman" w:hAnsi="Times New Roman"/>
          <w:sz w:val="18"/>
          <w:szCs w:val="18"/>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37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4" w:name="page15"/>
    <w:bookmarkEnd w:id="14"/>
    <w:p>
      <w:pPr>
        <w:jc w:val="both"/>
        <w:ind w:left="4" w:firstLine="644"/>
        <w:spacing w:after="0" w:line="256" w:lineRule="auto"/>
        <w:tabs>
          <w:tab w:leader="none" w:pos="86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and Expenses</w:t>
      </w:r>
      <w:r>
        <w:rPr>
          <w:rFonts w:ascii="Times New Roman" w:cs="Times New Roman" w:eastAsia="Times New Roman" w:hAnsi="Times New Roman"/>
          <w:sz w:val="18"/>
          <w:szCs w:val="18"/>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87" w:lineRule="exact"/>
        <w:rPr>
          <w:rFonts w:ascii="Times New Roman" w:cs="Times New Roman" w:eastAsia="Times New Roman" w:hAnsi="Times New Roman"/>
          <w:sz w:val="18"/>
          <w:szCs w:val="18"/>
          <w:color w:val="auto"/>
        </w:rPr>
      </w:pPr>
    </w:p>
    <w:p>
      <w:pPr>
        <w:jc w:val="both"/>
        <w:ind w:left="4" w:firstLine="644"/>
        <w:spacing w:after="0" w:line="252" w:lineRule="auto"/>
        <w:tabs>
          <w:tab w:leader="none" w:pos="87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to be provided by the Holders hereunder including, without limitation, any Notice of Exercise, shall be in writing and delivered personally, by facsimile or e-mail, or sent by a nationally recognized overnight courier service, addressed to the Company, at Room 801, Tower C, Floor 8, Building 103, Huizhongli, Chaoyang District, Attention: Zhen Fan, email address: fanzhen@haoximedia.com, or such other facsimile number, email address or address as the Company may specify for such purposes by notice to the Holders. Any and all notices or other communications or deliveries to be provided by the Company hereunder shall be in writing and delivered personally, by facsimile or e-mail, or sent by a nationally recognized overnight courier service addressed to each Holder at the facsimile number, e-mail address or address of such Holder appearing on the books of the Company. Any notice or other communication or deliveries hereunder shall be deemed given and effective on the earliest of (i) the date of transmission, if such notice or communication is delivered via facsimile at the facsimile number or via e-mail at the e-mail address set forth in this Section prior to 5:30 p.m. (New York City time) on any date, (ii) the next Trading Day after the date of transmission, if such notice or communication is delivered via facsimile at the facsimile number or via e-mail at the e-mail address set forth in this Section on a day that is not a Trading Day or later than 5:30 p.m. (New York City time) on any Trading Day, (iii) the second Trading Day following the date of mailing, if sent by U.S. nationally recognized overnight courier service, or</w:t>
      </w:r>
    </w:p>
    <w:p>
      <w:pPr>
        <w:spacing w:after="0" w:line="2"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actual receipt by the party to whom such notice is required to be given.</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Ordinary Shares or as a shareholder of the Company, whether such liability is asserted by the Company or by creditors of the Company.</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79" w:lineRule="exact"/>
        <w:rPr>
          <w:rFonts w:ascii="Times New Roman" w:cs="Times New Roman" w:eastAsia="Times New Roman" w:hAnsi="Times New Roman"/>
          <w:sz w:val="18"/>
          <w:szCs w:val="18"/>
          <w:color w:val="auto"/>
        </w:rPr>
      </w:pPr>
    </w:p>
    <w:p>
      <w:pPr>
        <w:jc w:val="both"/>
        <w:ind w:left="4" w:firstLine="644"/>
        <w:spacing w:after="0" w:line="261" w:lineRule="auto"/>
        <w:tabs>
          <w:tab w:leader="none" w:pos="84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79" w:lineRule="exact"/>
        <w:rPr>
          <w:rFonts w:ascii="Times New Roman" w:cs="Times New Roman" w:eastAsia="Times New Roman" w:hAnsi="Times New Roman"/>
          <w:sz w:val="18"/>
          <w:szCs w:val="18"/>
          <w:color w:val="auto"/>
        </w:rPr>
      </w:pPr>
    </w:p>
    <w:p>
      <w:pPr>
        <w:ind w:left="804" w:hanging="156"/>
        <w:spacing w:after="0"/>
        <w:tabs>
          <w:tab w:leader="none" w:pos="80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Warrant may be modified or amended or the provisions hereof waived with the written consent of the Company and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w:t>
      </w:r>
    </w:p>
    <w:p>
      <w:pPr>
        <w:spacing w:after="0" w:line="206" w:lineRule="exact"/>
        <w:rPr>
          <w:rFonts w:ascii="Times New Roman" w:cs="Times New Roman" w:eastAsia="Times New Roman" w:hAnsi="Times New Roman"/>
          <w:sz w:val="18"/>
          <w:szCs w:val="18"/>
          <w:color w:val="auto"/>
        </w:rPr>
      </w:pPr>
    </w:p>
    <w:p>
      <w:pPr>
        <w:jc w:val="both"/>
        <w:ind w:left="4" w:firstLine="644"/>
        <w:spacing w:after="0" w:line="266" w:lineRule="auto"/>
        <w:tabs>
          <w:tab w:leader="none" w:pos="89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75" w:lineRule="exact"/>
        <w:rPr>
          <w:rFonts w:ascii="Times New Roman" w:cs="Times New Roman" w:eastAsia="Times New Roman" w:hAnsi="Times New Roman"/>
          <w:sz w:val="18"/>
          <w:szCs w:val="18"/>
          <w:color w:val="auto"/>
        </w:rPr>
      </w:pPr>
    </w:p>
    <w:p>
      <w:pPr>
        <w:ind w:left="4" w:right="20" w:firstLine="644"/>
        <w:spacing w:after="0" w:line="282" w:lineRule="auto"/>
        <w:tabs>
          <w:tab w:leader="none" w:pos="84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in this Warrant are for the convenience of reference only and shall not, for any purpose, be deemed a part of this Warrant.</w:t>
      </w:r>
    </w:p>
    <w:p>
      <w:pPr>
        <w:spacing w:after="0" w:line="162" w:lineRule="exact"/>
        <w:rPr>
          <w:sz w:val="20"/>
          <w:szCs w:val="20"/>
          <w:color w:val="auto"/>
        </w:rPr>
      </w:pPr>
    </w:p>
    <w:p>
      <w:pPr>
        <w:ind w:left="4064"/>
        <w:spacing w:after="0"/>
        <w:rPr>
          <w:sz w:val="20"/>
          <w:szCs w:val="20"/>
          <w:color w:val="auto"/>
        </w:rPr>
      </w:pP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4044"/>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43"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5" w:name="page16"/>
    <w:bookmarkEnd w:id="15"/>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Company has caused this Warrant to be executed by its officer thereunto duly authorized as of the date first above indicated.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Fan Zhen</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EXERCISE</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Haoxi Health Technology Limited</w:t>
      </w:r>
    </w:p>
    <w:p>
      <w:pPr>
        <w:spacing w:after="0" w:line="225" w:lineRule="exact"/>
        <w:rPr>
          <w:sz w:val="20"/>
          <w:szCs w:val="20"/>
          <w:color w:val="auto"/>
        </w:rPr>
      </w:pPr>
    </w:p>
    <w:p>
      <w:pPr>
        <w:ind w:firstLine="1304"/>
        <w:spacing w:after="0" w:line="282" w:lineRule="auto"/>
        <w:tabs>
          <w:tab w:leader="none" w:pos="156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shall take the form of (check applicable box):</w:t>
      </w:r>
    </w:p>
    <w:p>
      <w:pPr>
        <w:spacing w:after="0" w:line="225" w:lineRule="exact"/>
        <w:rPr>
          <w:rFonts w:ascii="Times New Roman" w:cs="Times New Roman" w:eastAsia="Times New Roman" w:hAnsi="Times New Roman"/>
          <w:sz w:val="18"/>
          <w:szCs w:val="18"/>
          <w:color w:val="auto"/>
        </w:rPr>
      </w:pPr>
    </w:p>
    <w:p>
      <w:pPr>
        <w:ind w:left="2160" w:hanging="208"/>
        <w:spacing w:after="0"/>
        <w:tabs>
          <w:tab w:leader="none" w:pos="2160" w:val="left"/>
        </w:tabs>
        <w:numPr>
          <w:ilvl w:val="1"/>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 lawful money of the United States; or</w:t>
      </w:r>
    </w:p>
    <w:p>
      <w:pPr>
        <w:spacing w:after="0" w:line="225" w:lineRule="exact"/>
        <w:rPr>
          <w:rFonts w:ascii="MS PGothic" w:cs="MS PGothic" w:eastAsia="MS PGothic" w:hAnsi="MS PGothic"/>
          <w:sz w:val="18"/>
          <w:szCs w:val="18"/>
          <w:color w:val="auto"/>
        </w:rPr>
      </w:pPr>
    </w:p>
    <w:p>
      <w:pPr>
        <w:jc w:val="both"/>
        <w:ind w:left="1960" w:right="20" w:hanging="8"/>
        <w:spacing w:after="0" w:line="266" w:lineRule="auto"/>
        <w:tabs>
          <w:tab w:leader="none" w:pos="2181" w:val="left"/>
        </w:tabs>
        <w:numPr>
          <w:ilvl w:val="1"/>
          <w:numId w:val="1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75" w:lineRule="exact"/>
        <w:rPr>
          <w:rFonts w:ascii="MS PGothic" w:cs="MS PGothic" w:eastAsia="MS PGothic" w:hAnsi="MS PGothic"/>
          <w:sz w:val="18"/>
          <w:szCs w:val="18"/>
          <w:color w:val="auto"/>
        </w:rPr>
      </w:pPr>
    </w:p>
    <w:p>
      <w:pPr>
        <w:ind w:left="1560" w:hanging="256"/>
        <w:spacing w:after="0"/>
        <w:tabs>
          <w:tab w:leader="none" w:pos="15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issue said Warrant Shares in the name of the undersigned or in such other name as is specified below:</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Warrant Shares shall be delivered to the following DWAC Account Number:</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HOLDER]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Investing Entity: 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Investing Entity</w:t>
      </w:r>
      <w:r>
        <w:rPr>
          <w:rFonts w:ascii="Times New Roman" w:cs="Times New Roman" w:eastAsia="Times New Roman" w:hAnsi="Times New Roman"/>
          <w:sz w:val="18"/>
          <w:szCs w:val="18"/>
          <w:color w:val="auto"/>
        </w:rPr>
        <w:t>: 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ASSIGNMENT FORM</w:t>
      </w:r>
    </w:p>
    <w:p>
      <w:pPr>
        <w:spacing w:after="0" w:line="223" w:lineRule="exact"/>
        <w:rPr>
          <w:sz w:val="20"/>
          <w:szCs w:val="20"/>
          <w:color w:val="auto"/>
        </w:rPr>
      </w:pPr>
    </w:p>
    <w:p>
      <w:pPr>
        <w:ind w:left="340" w:right="1780"/>
        <w:spacing w:after="0" w:line="502" w:lineRule="auto"/>
        <w:rPr>
          <w:sz w:val="20"/>
          <w:szCs w:val="20"/>
          <w:color w:val="auto"/>
        </w:rPr>
      </w:pPr>
      <w:r>
        <w:rPr>
          <w:rFonts w:ascii="Times New Roman" w:cs="Times New Roman" w:eastAsia="Times New Roman" w:hAnsi="Times New Roman"/>
          <w:sz w:val="18"/>
          <w:szCs w:val="18"/>
          <w:i w:val="1"/>
          <w:iCs w:val="1"/>
          <w:color w:val="auto"/>
        </w:rPr>
        <w:t xml:space="preserve">(To assign the foregoing Warrant, execute this form and supply required information. Do not use this form to purchase shares.) </w:t>
      </w:r>
      <w:r>
        <w:rPr>
          <w:rFonts w:ascii="Times New Roman" w:cs="Times New Roman" w:eastAsia="Times New Roman" w:hAnsi="Times New Roman"/>
          <w:sz w:val="18"/>
          <w:szCs w:val="18"/>
          <w:color w:val="auto"/>
        </w:rPr>
        <w:t>FOR VALUE RECEIVED, the foregoing Warrant and all rights evidenced thereby are hereby assigned to</w:t>
      </w: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(Please Print)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_______________ __, 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640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17145</wp:posOffset>
            </wp:positionV>
            <wp:extent cx="26403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4033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27305</wp:posOffset>
            </wp:positionV>
            <wp:extent cx="1268730" cy="436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68730" cy="4368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Haoxi Health Technology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+852 3656 6054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 nathan.powell@ogier.com</w:t>
      </w:r>
    </w:p>
    <w:p>
      <w:pPr>
        <w:spacing w:after="0" w:line="200" w:lineRule="exact"/>
        <w:rPr>
          <w:sz w:val="20"/>
          <w:szCs w:val="20"/>
          <w:color w:val="auto"/>
        </w:rPr>
      </w:pPr>
    </w:p>
    <w:p>
      <w:pPr>
        <w:sectPr>
          <w:pgSz w:w="11900" w:h="16838" w:orient="portrait"/>
          <w:cols w:equalWidth="0" w:num="2">
            <w:col w:w="7160" w:space="720"/>
            <w:col w:w="3360"/>
          </w:cols>
          <w:pgMar w:left="320" w:top="117" w:right="339" w:bottom="1440" w:gutter="0" w:footer="0" w:header="0"/>
          <w:type w:val="continuous"/>
        </w:sectPr>
      </w:pPr>
    </w:p>
    <w:p>
      <w:pPr>
        <w:spacing w:after="0" w:line="18"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Reference: NMP/CLE/504385.00002</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May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Haoxi Health Technology Limited (the Company)</w:t>
      </w:r>
    </w:p>
    <w:p>
      <w:pPr>
        <w:sectPr>
          <w:pgSz w:w="11900" w:h="16838" w:orient="portrait"/>
          <w:cols w:equalWidth="0" w:num="1">
            <w:col w:w="11240"/>
          </w:cols>
          <w:pgMar w:left="320" w:top="117" w:right="339" w:bottom="1440" w:gutter="0" w:footer="0" w:header="0"/>
          <w:type w:val="continuous"/>
        </w:sectPr>
      </w:pP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We have acted as the Cayman Islands counsel to the Company in connection with the Company’s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xml:space="preserve">) filed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on or about the date hereof pursuant to Rule 424(b)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forming part of the registration statement on Form F-3 (File No. 333-287686) which was filed with the Commission on 30 May 2025 and declared effective on 13 June 2025, including all amendments or supplements thereto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The Prospectus Supplement relates to the Company’s issuance and sale of (i) such number of class A ordinary shares (the </w:t>
      </w:r>
      <w:r>
        <w:rPr>
          <w:rFonts w:ascii="Times New Roman" w:cs="Times New Roman" w:eastAsia="Times New Roman" w:hAnsi="Times New Roman"/>
          <w:sz w:val="18"/>
          <w:szCs w:val="18"/>
          <w:b w:val="1"/>
          <w:bCs w:val="1"/>
          <w:color w:val="auto"/>
        </w:rPr>
        <w:t>Class A Shares</w:t>
      </w:r>
      <w:r>
        <w:rPr>
          <w:rFonts w:ascii="Times New Roman" w:cs="Times New Roman" w:eastAsia="Times New Roman" w:hAnsi="Times New Roman"/>
          <w:sz w:val="18"/>
          <w:szCs w:val="18"/>
          <w:color w:val="auto"/>
        </w:rPr>
        <w:t xml:space="preserve">) of US$0.0025 par value each of the Company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xml:space="preserve">) and (ii) pre-funded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xml:space="preserve">) to purchase up to such number of Class A Shares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together with the Shares, the</w:t>
      </w:r>
      <w:r>
        <w:rPr>
          <w:rFonts w:ascii="Times New Roman" w:cs="Times New Roman" w:eastAsia="Times New Roman" w:hAnsi="Times New Roman"/>
          <w:sz w:val="18"/>
          <w:szCs w:val="18"/>
          <w:b w:val="1"/>
          <w:bCs w:val="1"/>
          <w:color w:val="auto"/>
        </w:rPr>
        <w:t xml:space="preserve"> Offer Shares</w:t>
      </w:r>
      <w:r>
        <w:rPr>
          <w:rFonts w:ascii="Times New Roman" w:cs="Times New Roman" w:eastAsia="Times New Roman" w:hAnsi="Times New Roman"/>
          <w:sz w:val="18"/>
          <w:szCs w:val="18"/>
          <w:color w:val="auto"/>
        </w:rPr>
        <w:t>) to certain investors (the</w:t>
      </w:r>
      <w:r>
        <w:rPr>
          <w:rFonts w:ascii="Times New Roman" w:cs="Times New Roman" w:eastAsia="Times New Roman" w:hAnsi="Times New Roman"/>
          <w:sz w:val="18"/>
          <w:szCs w:val="18"/>
          <w:b w:val="1"/>
          <w:bCs w:val="1"/>
          <w:color w:val="auto"/>
        </w:rPr>
        <w:t xml:space="preserve"> Investors</w:t>
      </w:r>
      <w:r>
        <w:rPr>
          <w:rFonts w:ascii="Times New Roman" w:cs="Times New Roman" w:eastAsia="Times New Roman" w:hAnsi="Times New Roman"/>
          <w:sz w:val="18"/>
          <w:szCs w:val="18"/>
          <w:color w:val="auto"/>
        </w:rPr>
        <w:t>) as set out in the Registration statement and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of a securities purchase agreement entered into by and between the Company and the Investors (the </w:t>
      </w:r>
      <w:r>
        <w:rPr>
          <w:rFonts w:ascii="Times New Roman" w:cs="Times New Roman" w:eastAsia="Times New Roman" w:hAnsi="Times New Roman"/>
          <w:sz w:val="18"/>
          <w:szCs w:val="18"/>
          <w:b w:val="1"/>
          <w:bCs w:val="1"/>
          <w:color w:val="auto"/>
        </w:rPr>
        <w:t>Securities Purchase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a contrary intention appears, all capitalised terms used in this opinion have the respective meanings set forth in the Registration Statement. A reference to a Schedule is a reference to a schedule to this opinion and the headings herein are for convenience only and do not affect the construction of this opinion.</w:t>
      </w:r>
    </w:p>
    <w:p>
      <w:pPr>
        <w:spacing w:after="0" w:line="172" w:lineRule="exact"/>
        <w:rPr>
          <w:sz w:val="20"/>
          <w:szCs w:val="20"/>
          <w:color w:val="auto"/>
        </w:rPr>
      </w:pPr>
    </w:p>
    <w:p>
      <w:pPr>
        <w:ind w:left="660" w:hanging="652"/>
        <w:spacing w:after="0"/>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purposes of giving this opinion, we have examined originals, copies, or drafts of the following documents:</w:t>
      </w:r>
    </w:p>
    <w:p>
      <w:pPr>
        <w:spacing w:after="0" w:line="225" w:lineRule="exact"/>
        <w:rPr>
          <w:rFonts w:ascii="Times New Roman" w:cs="Times New Roman" w:eastAsia="Times New Roman" w:hAnsi="Times New Roman"/>
          <w:sz w:val="18"/>
          <w:szCs w:val="18"/>
          <w:b w:val="1"/>
          <w:bCs w:val="1"/>
          <w:color w:val="auto"/>
        </w:rPr>
      </w:pPr>
    </w:p>
    <w:p>
      <w:pPr>
        <w:ind w:left="1300" w:right="100" w:hanging="644"/>
        <w:spacing w:after="0" w:line="282" w:lineRule="auto"/>
        <w:tabs>
          <w:tab w:leader="none" w:pos="13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incorporation of the Company dated 5 August 2022 issued by the Registrar of Companies of the Cayman Islands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Ogier</w:t>
            </w:r>
          </w:p>
        </w:tc>
        <w:tc>
          <w:tcPr>
            <w:tcW w:w="19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Partners</w:t>
            </w:r>
          </w:p>
        </w:tc>
        <w:tc>
          <w:tcPr>
            <w:tcW w:w="22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Providing advice on British Virgin Islands,</w:t>
            </w:r>
          </w:p>
        </w:tc>
        <w:tc>
          <w:tcPr>
            <w:tcW w:w="1960" w:type="dxa"/>
            <w:vAlign w:val="bottom"/>
            <w:vMerge w:val="continue"/>
          </w:tcPr>
          <w:p>
            <w:pPr>
              <w:spacing w:after="0"/>
              <w:rPr>
                <w:sz w:val="18"/>
                <w:szCs w:val="18"/>
                <w:color w:val="auto"/>
              </w:rPr>
            </w:pPr>
          </w:p>
        </w:tc>
        <w:tc>
          <w:tcPr>
            <w:tcW w:w="22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Cayman Islands and Guernsey laws</w:t>
            </w:r>
          </w:p>
        </w:tc>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Nicholas Plowman</w:t>
            </w:r>
          </w:p>
        </w:tc>
        <w:tc>
          <w:tcPr>
            <w:tcW w:w="2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Yuki Yan</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Nathan Powell</w:t>
            </w:r>
          </w:p>
        </w:tc>
        <w:tc>
          <w:tcPr>
            <w:tcW w:w="2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David Lin</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Floor 11 Central Tower</w:t>
            </w:r>
          </w:p>
        </w:tc>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Anthony Oakes</w:t>
            </w:r>
          </w:p>
        </w:tc>
        <w:tc>
          <w:tcPr>
            <w:tcW w:w="2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Alan Wong</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28 Queen’s Road Central</w:t>
            </w:r>
          </w:p>
        </w:tc>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Oliver Payne</w:t>
            </w:r>
          </w:p>
        </w:tc>
        <w:tc>
          <w:tcPr>
            <w:tcW w:w="2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Janice Chu</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Central</w:t>
            </w:r>
          </w:p>
        </w:tc>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Kate Hodson</w:t>
            </w:r>
          </w:p>
        </w:tc>
        <w:tc>
          <w:tcPr>
            <w:tcW w:w="2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Zhao Rong Ooi</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David Nelson</w:t>
            </w:r>
          </w:p>
        </w:tc>
        <w:tc>
          <w:tcPr>
            <w:tcW w:w="2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Rachel Huang</w:t>
            </w:r>
          </w:p>
        </w:tc>
        <w:tc>
          <w:tcPr>
            <w:tcW w:w="3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Justin Davis</w:t>
            </w:r>
          </w:p>
        </w:tc>
        <w:tc>
          <w:tcPr>
            <w:tcW w:w="2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Rachel Huang**</w:t>
            </w:r>
          </w:p>
        </w:tc>
        <w:tc>
          <w:tcPr>
            <w:tcW w:w="37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 admitted in New Zealand</w:t>
            </w:r>
          </w:p>
        </w:tc>
        <w:tc>
          <w:tcPr>
            <w:tcW w:w="0" w:type="dxa"/>
            <w:vAlign w:val="bottom"/>
          </w:tcPr>
          <w:p>
            <w:pPr>
              <w:spacing w:after="0"/>
              <w:rPr>
                <w:sz w:val="1"/>
                <w:szCs w:val="1"/>
                <w:color w:val="auto"/>
              </w:rPr>
            </w:pPr>
          </w:p>
        </w:tc>
      </w:tr>
      <w:tr>
        <w:trPr>
          <w:trHeight w:val="180"/>
        </w:trPr>
        <w:tc>
          <w:tcPr>
            <w:tcW w:w="3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 +852 3656 6000</w:t>
            </w:r>
          </w:p>
        </w:tc>
        <w:tc>
          <w:tcPr>
            <w:tcW w:w="196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Joanne Collett</w:t>
            </w:r>
          </w:p>
        </w:tc>
        <w:tc>
          <w:tcPr>
            <w:tcW w:w="2280" w:type="dxa"/>
            <w:vAlign w:val="bottom"/>
          </w:tcPr>
          <w:p>
            <w:pPr>
              <w:ind w:left="440"/>
              <w:spacing w:after="0" w:line="181" w:lineRule="exact"/>
              <w:rPr>
                <w:sz w:val="20"/>
                <w:szCs w:val="20"/>
                <w:color w:val="auto"/>
              </w:rPr>
            </w:pPr>
            <w:r>
              <w:rPr>
                <w:rFonts w:ascii="Times New Roman" w:cs="Times New Roman" w:eastAsia="Times New Roman" w:hAnsi="Times New Roman"/>
                <w:sz w:val="18"/>
                <w:szCs w:val="18"/>
                <w:color w:val="auto"/>
              </w:rPr>
              <w:t>Florence Chan*‡</w:t>
            </w:r>
          </w:p>
        </w:tc>
        <w:tc>
          <w:tcPr>
            <w:tcW w:w="3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F +852 3656 6001</w:t>
            </w:r>
          </w:p>
        </w:tc>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Dennis Li</w:t>
            </w:r>
          </w:p>
        </w:tc>
        <w:tc>
          <w:tcPr>
            <w:tcW w:w="2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Richard Bennett**‡</w:t>
            </w:r>
          </w:p>
        </w:tc>
        <w:tc>
          <w:tcPr>
            <w:tcW w:w="37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admitted in England and Wales</w:t>
            </w:r>
          </w:p>
        </w:tc>
        <w:tc>
          <w:tcPr>
            <w:tcW w:w="0" w:type="dxa"/>
            <w:vAlign w:val="bottom"/>
          </w:tcPr>
          <w:p>
            <w:pPr>
              <w:spacing w:after="0"/>
              <w:rPr>
                <w:sz w:val="1"/>
                <w:szCs w:val="1"/>
                <w:color w:val="auto"/>
              </w:rPr>
            </w:pPr>
          </w:p>
        </w:tc>
      </w:tr>
      <w:tr>
        <w:trPr>
          <w:trHeight w:val="394"/>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ogier.com</w:t>
            </w:r>
          </w:p>
        </w:tc>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Cecilia Li</w:t>
            </w:r>
          </w:p>
        </w:tc>
        <w:tc>
          <w:tcPr>
            <w:tcW w:w="2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James Bergstrom‡</w:t>
            </w:r>
          </w:p>
        </w:tc>
        <w:tc>
          <w:tcPr>
            <w:tcW w:w="3760" w:type="dxa"/>
            <w:vAlign w:val="bottom"/>
          </w:tcPr>
          <w:p>
            <w:pPr>
              <w:ind w:left="40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not ordinarily resident in Hong Kong</w:t>
            </w:r>
          </w:p>
        </w:tc>
        <w:tc>
          <w:tcPr>
            <w:tcW w:w="0" w:type="dxa"/>
            <w:vAlign w:val="bottom"/>
          </w:tcPr>
          <w:p>
            <w:pPr>
              <w:spacing w:after="0"/>
              <w:rPr>
                <w:sz w:val="1"/>
                <w:szCs w:val="1"/>
                <w:color w:val="auto"/>
              </w:rPr>
            </w:pPr>
          </w:p>
        </w:tc>
      </w:tr>
      <w:tr>
        <w:trPr>
          <w:trHeight w:val="558"/>
        </w:trPr>
        <w:tc>
          <w:tcPr>
            <w:tcW w:w="3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type w:val="continuous"/>
        </w:sectPr>
      </w:pPr>
    </w:p>
    <w:bookmarkStart w:id="19" w:name="page20"/>
    <w:bookmarkEnd w:id="19"/>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sixth amended and restated memorandum and articles of association of the Company adopted by way of special resolution passed by shareholders of the Company on 8 December 2025 (the </w:t>
      </w:r>
      <w:r>
        <w:rPr>
          <w:rFonts w:ascii="Times New Roman" w:cs="Times New Roman" w:eastAsia="Times New Roman" w:hAnsi="Times New Roman"/>
          <w:sz w:val="18"/>
          <w:szCs w:val="18"/>
          <w:b w:val="1"/>
          <w:bCs w:val="1"/>
          <w:color w:val="auto"/>
        </w:rPr>
        <w:t>Memorandum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respectively);</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28 April 2026 issued by the Registrar in respect of the Company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certificate of incumbency in respect of the Company dated 28 April 2026 issued by the registered agent of the Company (the </w:t>
      </w:r>
      <w:r>
        <w:rPr>
          <w:rFonts w:ascii="Times New Roman" w:cs="Times New Roman" w:eastAsia="Times New Roman" w:hAnsi="Times New Roman"/>
          <w:sz w:val="18"/>
          <w:szCs w:val="18"/>
          <w:b w:val="1"/>
          <w:bCs w:val="1"/>
          <w:color w:val="auto"/>
        </w:rPr>
        <w:t>Certificate of Incumbency</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dated on the date hereof as to certain matters of fact signed by a director of the Company in the form annexed hereto (the </w:t>
      </w:r>
      <w:r>
        <w:rPr>
          <w:rFonts w:ascii="Times New Roman" w:cs="Times New Roman" w:eastAsia="Times New Roman" w:hAnsi="Times New Roman"/>
          <w:sz w:val="18"/>
          <w:szCs w:val="18"/>
          <w:b w:val="1"/>
          <w:bCs w:val="1"/>
          <w:color w:val="auto"/>
        </w:rPr>
        <w:t>Director’s Certificate</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written resolutions of the board of directors of the Company dated 28 May 2025 and 11 May 2026 (together, the </w:t>
      </w:r>
      <w:r>
        <w:rPr>
          <w:rFonts w:ascii="Times New Roman" w:cs="Times New Roman" w:eastAsia="Times New Roman" w:hAnsi="Times New Roman"/>
          <w:sz w:val="18"/>
          <w:szCs w:val="18"/>
          <w:b w:val="1"/>
          <w:bCs w:val="1"/>
          <w:color w:val="auto"/>
        </w:rPr>
        <w:t>Board Resolutions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form of the Securities Purchase Agreement;</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form of the Warrants;</w:t>
      </w:r>
    </w:p>
    <w:p>
      <w:pPr>
        <w:spacing w:after="0" w:line="221"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draft form of the placement agency agreement to be entered between Univest Securities, LLC and the Company (</w:t>
      </w:r>
      <w:r>
        <w:rPr>
          <w:rFonts w:ascii="Times New Roman" w:cs="Times New Roman" w:eastAsia="Times New Roman" w:hAnsi="Times New Roman"/>
          <w:sz w:val="18"/>
          <w:szCs w:val="18"/>
          <w:b w:val="1"/>
          <w:bCs w:val="1"/>
          <w:color w:val="auto"/>
        </w:rPr>
        <w:t>Placement Agency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(items (g) to (i), collectively referred to as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 and the Registration Statement.</w:t>
      </w:r>
    </w:p>
    <w:p>
      <w:pPr>
        <w:spacing w:after="0" w:line="221" w:lineRule="exact"/>
        <w:rPr>
          <w:sz w:val="20"/>
          <w:szCs w:val="20"/>
          <w:color w:val="auto"/>
        </w:rPr>
      </w:pPr>
    </w:p>
    <w:p>
      <w:pPr>
        <w:ind w:left="660" w:hanging="652"/>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this paragraph 2 without having carried out any independent investigation or verification in respect of those assumptions:</w:t>
      </w:r>
    </w:p>
    <w:p>
      <w:pPr>
        <w:spacing w:after="0" w:line="161"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 documents examined by us (whether in facsimile, electronic or other form) conform to the originals and those originals are authentic and complete;</w:t>
      </w:r>
    </w:p>
    <w:p>
      <w:pPr>
        <w:spacing w:after="0" w:line="161"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25"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the Certificate of Incumbency and the Director’s Certificate is accurate and complete as at the date of this opinion;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0" w:name="page21"/>
    <w:bookmarkEnd w:id="20"/>
    <w:p>
      <w:pPr>
        <w:jc w:val="both"/>
        <w:ind w:left="644" w:hanging="644"/>
        <w:spacing w:after="0" w:line="266"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copies of the documents provided are true and correct copies, and where any Document has been provided to us in draft or undated form, that Document has been executed by all parties in materially the form provided to us and, where we have been provided with successive drafts of a Document marked to show changes from a previous draft, all such changes have been accurately marked;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Documents other than the Company is duly incorporated, formed or organised (as applicable), validly existing and in good standing under all relevant laws, and each Document has been duly authorised, executed and unconditionally delivered by or on behalf of all parties to it in accordance with all applicable laws (other than, in the case of the Company, the laws of the Cayman Islands);</w:t>
      </w:r>
    </w:p>
    <w:p>
      <w:pPr>
        <w:spacing w:after="0" w:line="206"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Resolutions remain in full force and effect and have not been, and will not be, rescinded or amended, and each of the directors of the Company has acted in good faith with a view to the best interests of the Company and has exercised the standard of care, diligence and skill that is required of him or her in approving the transaction and no director has a financial interest in or other relationship to a party of the transactions contemplated by each Document which has not been properly disclosed in the Board Resolutions;</w:t>
      </w:r>
    </w:p>
    <w:p>
      <w:pPr>
        <w:spacing w:after="0" w:line="206"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directors and shareholders of the Company have taken any steps to appoint a liquidator of the Company and no receiver has been appointed over any of the Company’s property or assets;</w:t>
      </w:r>
    </w:p>
    <w:p>
      <w:pPr>
        <w:spacing w:after="0" w:line="162" w:lineRule="exact"/>
        <w:rPr>
          <w:sz w:val="20"/>
          <w:szCs w:val="20"/>
          <w:color w:val="auto"/>
        </w:rPr>
      </w:pPr>
    </w:p>
    <w:p>
      <w:pPr>
        <w:ind w:left="644" w:hanging="644"/>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issue the Offer Shares in furtherance of its objects as set out in its Memorandum;</w:t>
      </w:r>
    </w:p>
    <w:p>
      <w:pPr>
        <w:spacing w:after="0" w:line="225" w:lineRule="exact"/>
        <w:rPr>
          <w:rFonts w:ascii="Times New Roman" w:cs="Times New Roman" w:eastAsia="Times New Roman" w:hAnsi="Times New Roman"/>
          <w:sz w:val="18"/>
          <w:szCs w:val="18"/>
          <w:color w:val="auto"/>
        </w:rPr>
      </w:pPr>
    </w:p>
    <w:p>
      <w:pPr>
        <w:ind w:left="644" w:hanging="644"/>
        <w:spacing w:after="0"/>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Shares shall be issued at an issue price in excess of the par value thereof;</w:t>
      </w:r>
    </w:p>
    <w:p>
      <w:pPr>
        <w:spacing w:after="0" w:line="22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terms of any and all Offer Shares,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of the Company then in effect nor any applicable law, regulation, order or decree in the Cayman Islands;</w:t>
      </w:r>
    </w:p>
    <w:p>
      <w:pPr>
        <w:spacing w:after="0" w:line="206" w:lineRule="exact"/>
        <w:rPr>
          <w:rFonts w:ascii="Times New Roman" w:cs="Times New Roman" w:eastAsia="Times New Roman" w:hAnsi="Times New Roman"/>
          <w:sz w:val="18"/>
          <w:szCs w:val="18"/>
          <w:color w:val="auto"/>
        </w:rPr>
      </w:pPr>
    </w:p>
    <w:p>
      <w:pPr>
        <w:ind w:left="644" w:hanging="644"/>
        <w:spacing w:after="0" w:line="282"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invitation has been or will be made by or on behalf of the Company to the public in the Cayman Islands to subscribe for any Offer Shares and none of the Offer Shares have been offered or issued to residents of the Cayman Islands;</w:t>
      </w:r>
    </w:p>
    <w:p>
      <w:pPr>
        <w:spacing w:after="0" w:line="161"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corporate action will be taken to authorize and approve any issuance of Offer Shares and the terms of the offering of such Offer Shares thereof and any other related matters and that the applicable definitive purchase, underwriting or similar agreement will be duly approved, executed and delivered by or on behalf of the Company and all other parties thereto;</w:t>
      </w:r>
    </w:p>
    <w:p>
      <w:pPr>
        <w:spacing w:after="0" w:line="200" w:lineRule="exact"/>
        <w:rPr>
          <w:sz w:val="20"/>
          <w:szCs w:val="20"/>
          <w:color w:val="auto"/>
        </w:rPr>
      </w:pPr>
    </w:p>
    <w:p>
      <w:pPr>
        <w:spacing w:after="0" w:line="21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1" w:name="page22"/>
    <w:bookmarkEnd w:id="21"/>
    <w:p>
      <w:pPr>
        <w:ind w:left="130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issue of any Offer Shares, the Company will receive consideration for the full issue price thereof which shall be equal to at least the par value thereof;</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will be duly executed in substantially the same form as reviewed by us by the Company’s duly authorised signatory for and on behalf of the Company in accordance with the Board Resolutions and will be duly executed and unconditionally delivered by other respective parties thereto in accordance with all relevant laws, on or prior to the issuance of the Offer Shares and the Warrants, and that such execution and delivery and the performance of the obligations contained therein will be within the capacity and powers of, and will be legal, valid, binding and enforceable against, all relevant parties in accordance with their terms under all relevant laws;</w:t>
      </w:r>
    </w:p>
    <w:p>
      <w:pPr>
        <w:spacing w:after="0" w:line="21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capacity, power and authority of all parties other than the Company to enter into and perform their obligations under any and all documents entered into by such parties in connection with the issuance of the Offer Shares, and the due execution and delivery thereof by each party thereto;</w:t>
      </w:r>
    </w:p>
    <w:p>
      <w:pPr>
        <w:spacing w:after="0" w:line="175" w:lineRule="exact"/>
        <w:rPr>
          <w:rFonts w:ascii="Times New Roman" w:cs="Times New Roman" w:eastAsia="Times New Roman" w:hAnsi="Times New Roman"/>
          <w:sz w:val="18"/>
          <w:szCs w:val="18"/>
          <w:color w:val="auto"/>
        </w:rPr>
      </w:pPr>
    </w:p>
    <w:p>
      <w:pPr>
        <w:jc w:val="both"/>
        <w:ind w:left="1300" w:right="20" w:hanging="644"/>
        <w:spacing w:after="0" w:line="266"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monies paid to or for the account of any party under the Documents or the consummation of the transactions contemplated thereby represent or will represent proceeds of criminal conduct or criminal property or terrorist property (as defined in the Proceeds of Crime Act (As Revised) and the Terrorism Act (As Revised), respectively);</w:t>
      </w:r>
    </w:p>
    <w:p>
      <w:pPr>
        <w:spacing w:after="0" w:line="175"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and after the allotment (where applicable) and issuance of any Offer Shares will be, able to pay its liabilities as they fall due;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provision of the law of any jurisdiction, other than the Cayman Islands, which would have any implication in relation to the opinions expressed herein.</w:t>
      </w:r>
    </w:p>
    <w:p>
      <w:pPr>
        <w:spacing w:after="0" w:line="158" w:lineRule="exact"/>
        <w:rPr>
          <w:sz w:val="20"/>
          <w:szCs w:val="20"/>
          <w:color w:val="auto"/>
        </w:rPr>
      </w:pPr>
    </w:p>
    <w:p>
      <w:pPr>
        <w:ind w:left="660" w:hanging="652"/>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On the basis of the examinations and assumptions referred to above and subject to the qualifications and the limitations set forth below, we are of the opinion that: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status</w:t>
      </w:r>
    </w:p>
    <w:p>
      <w:pPr>
        <w:spacing w:after="0" w:line="229"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as an exempted company and is validly existing and in good standing with the Registrar.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 capital</w:t>
      </w:r>
    </w:p>
    <w:p>
      <w:pPr>
        <w:spacing w:after="0" w:line="229" w:lineRule="exact"/>
        <w:rPr>
          <w:sz w:val="20"/>
          <w:szCs w:val="20"/>
          <w:color w:val="auto"/>
        </w:rPr>
      </w:pPr>
    </w:p>
    <w:p>
      <w:pPr>
        <w:ind w:left="130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US$3,250,000 divided into 1,200,000,000 Class A ordinary shares of par value US$0.0025 each and 100,000,000 Class B ordinary shares of par value US$0.0025 each.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Valid Issuance of Offer Shares</w:t>
      </w:r>
    </w:p>
    <w:p>
      <w:pPr>
        <w:spacing w:after="0" w:line="229" w:lineRule="exact"/>
        <w:rPr>
          <w:sz w:val="20"/>
          <w:szCs w:val="20"/>
          <w:color w:val="auto"/>
        </w:rPr>
      </w:pPr>
    </w:p>
    <w:p>
      <w:pPr>
        <w:ind w:left="1300" w:right="20" w:hanging="644"/>
        <w:spacing w:after="0" w:line="282" w:lineRule="auto"/>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to be issued pursuant to the Securities Purchase Agreement have been duly authorised by board of directors of the Company for issue and when: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duly executed the Securities Purchase Agreement in accordance with the Board Resolutions;</w:t>
      </w:r>
    </w:p>
    <w:p>
      <w:pPr>
        <w:spacing w:after="0" w:line="225" w:lineRule="exact"/>
        <w:rPr>
          <w:rFonts w:ascii="Times New Roman" w:cs="Times New Roman" w:eastAsia="Times New Roman" w:hAnsi="Times New Roman"/>
          <w:sz w:val="18"/>
          <w:szCs w:val="18"/>
          <w:color w:val="auto"/>
        </w:rPr>
      </w:pPr>
    </w:p>
    <w:p>
      <w:pPr>
        <w:ind w:left="1960" w:hanging="656"/>
        <w:spacing w:after="0" w:line="282"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provisions of the Memorandum and Articles, the Securities Purchase Agreement and the Board Resolutions have been satisfied;</w:t>
      </w:r>
    </w:p>
    <w:p>
      <w:pPr>
        <w:spacing w:after="0" w:line="161" w:lineRule="exact"/>
        <w:rPr>
          <w:rFonts w:ascii="Times New Roman" w:cs="Times New Roman" w:eastAsia="Times New Roman" w:hAnsi="Times New Roman"/>
          <w:sz w:val="18"/>
          <w:szCs w:val="18"/>
          <w:color w:val="auto"/>
        </w:rPr>
      </w:pPr>
    </w:p>
    <w:p>
      <w:pPr>
        <w:ind w:left="1960" w:right="20" w:hanging="656"/>
        <w:spacing w:after="0" w:line="282" w:lineRule="auto"/>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payment of consideration as specified in the Securities Purchase Agreement (being not be less than the par value per Share) has been received by the Company; and</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issuance of Shares have been duly registered in the Company’s register of members as fully paid shares,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will be validly issued, fully paid and non-assessable.</w:t>
      </w:r>
    </w:p>
    <w:p>
      <w:pPr>
        <w:spacing w:after="0" w:line="225" w:lineRule="exact"/>
        <w:rPr>
          <w:sz w:val="20"/>
          <w:szCs w:val="20"/>
          <w:color w:val="auto"/>
        </w:rPr>
      </w:pPr>
    </w:p>
    <w:p>
      <w:pPr>
        <w:ind w:left="1300" w:hanging="644"/>
        <w:spacing w:after="0"/>
        <w:tabs>
          <w:tab w:leader="none" w:pos="13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Shares to be issued pursuant to the Warrants have been duly authorised for issuance, and when:</w:t>
      </w:r>
    </w:p>
    <w:p>
      <w:pPr>
        <w:spacing w:after="0" w:line="225" w:lineRule="exact"/>
        <w:rPr>
          <w:rFonts w:ascii="Times New Roman" w:cs="Times New Roman" w:eastAsia="Times New Roman" w:hAnsi="Times New Roman"/>
          <w:sz w:val="18"/>
          <w:szCs w:val="18"/>
          <w:color w:val="auto"/>
        </w:rPr>
      </w:pPr>
    </w:p>
    <w:p>
      <w:pPr>
        <w:jc w:val="both"/>
        <w:ind w:left="1960" w:hanging="656"/>
        <w:spacing w:after="0" w:line="266"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by the Company upon due exercise of the Warrants in accordance with the terms thereof, the Registration Statement, the provisions of the memorandum and articles of association of the Company then in effect and the Board Resolutions, and once consideration as stated in the relevant Documents, which shall not be less than the par value per Warrant Share, is paid; and</w:t>
      </w:r>
    </w:p>
    <w:p>
      <w:pPr>
        <w:spacing w:after="0" w:line="17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issuance of Warrant Shares has been duly registered in the Company’s register of members as fully paid shares,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will be validly issued, fully paid and non-assessable.</w:t>
      </w:r>
    </w:p>
    <w:p>
      <w:pPr>
        <w:spacing w:after="0" w:line="221"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 and Qualifications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We offer no opinion:</w:t>
      </w:r>
    </w:p>
    <w:p>
      <w:pPr>
        <w:spacing w:after="0" w:line="225" w:lineRule="exact"/>
        <w:rPr>
          <w:sz w:val="20"/>
          <w:szCs w:val="20"/>
          <w:color w:val="auto"/>
        </w:rPr>
      </w:pPr>
    </w:p>
    <w:p>
      <w:pPr>
        <w:jc w:val="both"/>
        <w:ind w:left="1300" w:hanging="644"/>
        <w:spacing w:after="0" w:line="266" w:lineRule="auto"/>
        <w:tabs>
          <w:tab w:leader="none" w:pos="13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laws other than the laws of the Cayman Islands, and we have not, for the purposes of this opinion, made any investigation of the laws of any other jurisdiction, and we express no opinion as to the meaning, validity, or effect of references in the Documents to statutes, rules, regulations, codes or judicial authority of any jurisdiction other than the Cayman Islands; or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jc w:val="both"/>
        <w:ind w:left="1300" w:hanging="644"/>
        <w:spacing w:after="0" w:line="258"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that this opinion expressly provides otherwise, as to the commercial terms of, or the validity, enforceability or effect of the Documents reviewed (or as to how the commercial terms of such Documents reflect the intentions of the parties),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or</w:t>
      </w:r>
    </w:p>
    <w:p>
      <w:pPr>
        <w:spacing w:after="0" w:line="210"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whether the acceptance, execution or performance of the Company’s obligations under the documents reviewed by us will result in the breach of or infringe any other agreement, deed or document (other than the Memorandum and Articles) entered into by or binding on the Company.</w:t>
      </w:r>
    </w:p>
    <w:p>
      <w:pPr>
        <w:spacing w:after="0" w:line="199" w:lineRule="exact"/>
        <w:rPr>
          <w:sz w:val="20"/>
          <w:szCs w:val="20"/>
          <w:color w:val="auto"/>
        </w:rPr>
      </w:pPr>
    </w:p>
    <w:p>
      <w:pPr>
        <w:jc w:val="both"/>
        <w:ind w:left="660" w:hanging="647"/>
        <w:spacing w:after="0" w:line="256" w:lineRule="auto"/>
        <w:tabs>
          <w:tab w:leader="none" w:pos="6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color w:val="auto"/>
        </w:rPr>
        <w:t xml:space="preserve">Under the Companies Act (Revised)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of the Cayman Islands annual returns in respect of the Company must be filed with the Registrar of Companies in the Cayman Islands, together with payment of annual filing fees. A failure to file annual returns and pay annual filing fees may result in the Company being struck off the Register of Companies, following which its assets will vest in the Financial Secretary of the Cayman Islands and will be subject to disposition or retention for the benefit of the public of the Cayman Islands</w:t>
      </w:r>
    </w:p>
    <w:p>
      <w:pPr>
        <w:spacing w:after="0" w:line="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good standing</w:t>
      </w:r>
      <w:r>
        <w:rPr>
          <w:rFonts w:ascii="Times New Roman" w:cs="Times New Roman" w:eastAsia="Times New Roman" w:hAnsi="Times New Roman"/>
          <w:sz w:val="18"/>
          <w:szCs w:val="18"/>
          <w:color w:val="auto"/>
        </w:rPr>
        <w:t xml:space="preserve"> means only that as of the date of the Good Standing Certificate the Company is up-to-date with the filing of its annual returns and payment of annual fees with the Registrar of Companies. We have made no enquiries into the Company’s good standing with respect to any filings or payment of fees, or both, that it may be required to make under the laws of the Cayman Islands other than the Companies Act.</w:t>
      </w:r>
    </w:p>
    <w:p>
      <w:pPr>
        <w:spacing w:after="0" w:line="209" w:lineRule="exact"/>
        <w:rPr>
          <w:sz w:val="20"/>
          <w:szCs w:val="20"/>
          <w:color w:val="auto"/>
        </w:rPr>
      </w:pPr>
    </w:p>
    <w:p>
      <w:pPr>
        <w:ind w:left="660" w:hanging="652"/>
        <w:spacing w:after="0"/>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Cayman Islands;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Cayman Islands at the date of this opinion.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Cayman Islands legislation is a reference to that legislation as amended to, and as in force at, the date of this opinion.</w:t>
      </w:r>
    </w:p>
    <w:p>
      <w:pPr>
        <w:spacing w:after="0" w:line="374"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Reliance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Prospectus Supplement and Registration Statement and to the reference to our firm under the headings “</w:t>
      </w:r>
      <w:r>
        <w:rPr>
          <w:rFonts w:ascii="Times New Roman" w:cs="Times New Roman" w:eastAsia="Times New Roman" w:hAnsi="Times New Roman"/>
          <w:sz w:val="18"/>
          <w:szCs w:val="18"/>
          <w:i w:val="1"/>
          <w:iCs w:val="1"/>
          <w:color w:val="auto"/>
        </w:rPr>
        <w:t>Legal Matters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Enforceability of Civil Liabilities</w:t>
      </w:r>
      <w:r>
        <w:rPr>
          <w:rFonts w:ascii="Times New Roman" w:cs="Times New Roman" w:eastAsia="Times New Roman" w:hAnsi="Times New Roman"/>
          <w:sz w:val="18"/>
          <w:szCs w:val="18"/>
          <w:color w:val="auto"/>
        </w:rPr>
        <w:t>” of the Prospectus Supplement and Registration Statement. In giving such consent, we do not believe that we are “experts” within the meaning of such term used in the Act or the rules and regulations of the Commission issued thereunder with respect to any part of the Prospectus Supplement and Registration Statement, including this opinion as an exhibit or otherwise.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opinion may be used only in connection with the offer and sale of the Offer Shares while the Prospectus Supplement and Registration Statement is effective.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874395" cy="386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7439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ind w:left="1026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May 11, 2026, between Haoxi Health Technology Limited, a company organized under the laws of the Cayman Islands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(i) pursuant to an effective registration statement under the Securities Act (as defined below) as to the Shares, the Pre-Funded Warrants and the Pre-Funded Warrant Shares, the Company desires to issue and sell to each Purchaser, and each Purchaser, severally and not jointly, desires to purchase from the Company, securities of the Company as more fully described in this Agreement.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 A Person shall be regarded as in control of the Company if the Company owns or directly or indirectly controls more than fifty percent (50%) of the voting rights or other ownership interest of the other person, or if it possesses, directly or indirectly, the power to direct or cause the direction of the management and policies of such person.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Saturday, Sunday, or other day on which banking institutions in the State of New York are authorized or required by law to remain closed.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Securities pursuant to Section 2.1.</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at the Closing and (ii) the Company’s obligations to</w:t>
      </w:r>
    </w:p>
    <w:p>
      <w:pPr>
        <w:jc w:val="both"/>
        <w:spacing w:after="0" w:line="209" w:lineRule="auto"/>
        <w:rPr>
          <w:sz w:val="20"/>
          <w:szCs w:val="20"/>
          <w:color w:val="auto"/>
        </w:rPr>
      </w:pPr>
      <w:r>
        <w:rPr>
          <w:rFonts w:ascii="Times New Roman" w:cs="Times New Roman" w:eastAsia="Times New Roman" w:hAnsi="Times New Roman"/>
          <w:sz w:val="18"/>
          <w:szCs w:val="18"/>
          <w:color w:val="auto"/>
        </w:rPr>
        <w:t>deliver the Securities, in each case, at the Closing have been satisfied or waived, but in no event later than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hereof.</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Cayman Counsel</w:t>
      </w:r>
      <w:r>
        <w:rPr>
          <w:rFonts w:ascii="Times New Roman" w:cs="Times New Roman" w:eastAsia="Times New Roman" w:hAnsi="Times New Roman"/>
          <w:sz w:val="18"/>
          <w:szCs w:val="18"/>
          <w:color w:val="auto"/>
        </w:rPr>
        <w:t>” means Ogier.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PRC Counsel</w:t>
      </w:r>
      <w:r>
        <w:rPr>
          <w:rFonts w:ascii="Times New Roman" w:cs="Times New Roman" w:eastAsia="Times New Roman" w:hAnsi="Times New Roman"/>
          <w:sz w:val="18"/>
          <w:szCs w:val="18"/>
          <w:color w:val="auto"/>
        </w:rPr>
        <w:t>” means Sino Pro Law Firm.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U.S. Counsel</w:t>
      </w:r>
      <w:r>
        <w:rPr>
          <w:rFonts w:ascii="Times New Roman" w:cs="Times New Roman" w:eastAsia="Times New Roman" w:hAnsi="Times New Roman"/>
          <w:sz w:val="18"/>
          <w:szCs w:val="18"/>
          <w:color w:val="auto"/>
        </w:rPr>
        <w:t>” means Hunter Taubman Fischer &amp; Li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unless otherwise instructed as to an earlier time by the Placement Agent, and (ii) if this Agreement is signed between midnight (New York City time) and 9:00 a.m. (New York City time) on any Trading Day, no later than 9:01 a.m. (New York City time) on the date hereof, unless otherwise instructed as to an earlier time by the Placement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shall have the meaning ascribed to such term in Section 2.1(v).</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Exempt Issuance</w:t>
      </w:r>
      <w:r>
        <w:rPr>
          <w:rFonts w:ascii="Times New Roman" w:cs="Times New Roman" w:eastAsia="Times New Roman" w:hAnsi="Times New Roman"/>
          <w:sz w:val="18"/>
          <w:szCs w:val="18"/>
          <w:color w:val="auto"/>
        </w:rPr>
        <w:t>” means the issuance of means the issuance of (a) Ordinary Shares, restricted share units or options to employees, officers or directors of the Company pursuant to any share or option plan duly adopted for such purpose, by a majority of the non-employee members of the Board of Directors or a majority of the members of a committee of non-employee directors established for such purpose for services rendered to the Company; (b) securities upon the exercise or exchange of or conversion of any Securities issued hereunder and/or other securities exercisable or exchangeable for or convertible into Ordinary Shares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share splits or combinations) or to extend the term of such securities; and (c)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4.12(a) herein,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accounting principles generally accepted in the United States of America.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Lock-Up Agreement</w:t>
      </w:r>
      <w:r>
        <w:rPr>
          <w:rFonts w:ascii="Times New Roman" w:cs="Times New Roman" w:eastAsia="Times New Roman" w:hAnsi="Times New Roman"/>
          <w:sz w:val="18"/>
          <w:szCs w:val="18"/>
          <w:color w:val="auto"/>
        </w:rPr>
        <w:t xml:space="preserve">” means the Lock-Up Agreement, dated as of the date hereof, by and among the Company and the directors and officers of the Company,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Class A ordinary shares of the Company, par value $0.0025 per share.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Ordinary Share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Ordinary Shares, including, without limitation, any debt, preferred share, right, option, warrant or other instrument that is at any time convertible into or exercisable or exchangeable for, or otherwise entitles the holder thereof to receive, Ordinary Shares.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Pre-Funded Warrant Purchase Price</w:t>
      </w:r>
      <w:r>
        <w:rPr>
          <w:rFonts w:ascii="Times New Roman" w:cs="Times New Roman" w:eastAsia="Times New Roman" w:hAnsi="Times New Roman"/>
          <w:sz w:val="18"/>
          <w:szCs w:val="18"/>
          <w:color w:val="auto"/>
        </w:rPr>
        <w:t>” equals $0.2474, subject to adjustment for reverse and forward share splits, share dividends, share combinations and other similar transactions relating to the Ordinary Shares that occur after the date of this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$0.25, subject to adjustment for reverse and forward share splits, share dividends, share combinations and other similar transactions of Ordinary Shares that occur between the date hereof and the Closing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Placement Agent</w:t>
      </w:r>
      <w:r>
        <w:rPr>
          <w:rFonts w:ascii="Times New Roman" w:cs="Times New Roman" w:eastAsia="Times New Roman" w:hAnsi="Times New Roman"/>
          <w:sz w:val="18"/>
          <w:szCs w:val="18"/>
          <w:color w:val="auto"/>
        </w:rPr>
        <w:t>” means Univest Securities, LLC.</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xml:space="preserve">” means, collectively, the pre-funded Ordinary Share purchase warrants delivered to the Purchasers at the Closing in accordance with Section 2.2(a) hereof,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means the Ordinary Shares issuable upon exercise of the Pre-Funded Warrants.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pending or, to the Company’s knowledge, threatened against the Company before any court, governmental agency or regulatory authority.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final base prospectus filed pursuant to the Registration Statement.</w:t>
      </w:r>
    </w:p>
    <w:p>
      <w:pPr>
        <w:spacing w:after="0" w:line="225" w:lineRule="exact"/>
        <w:rPr>
          <w:sz w:val="20"/>
          <w:szCs w:val="20"/>
          <w:color w:val="auto"/>
        </w:rPr>
      </w:pPr>
    </w:p>
    <w:p>
      <w:pPr>
        <w:jc w:val="both"/>
        <w:ind w:right="20" w:firstLine="70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prospectus supplement filed pursuant to the Registration Statement relating to the offering of Securities pursuant to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of the Company on Form F-3 with Commission File No. 333-287686, which registers the sale of the Shares, the Pre-Funded Warrants and Pre-Funded Warrant Shares.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means the Shares, the Pre-Funded Warrants and the Pre-Funded Warrant Shares.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Ordinary Shares delivered to the Purchasers at Closing in accordance with Section 2.2(a) hereof.</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Ordinary Shares).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the Shares and/or Pre-Funded Warrants purchased hereunder as specified below such Purchaser’s name on the signature page of this Agreement and next to the heading “Subscription Amount,” in United States dollars and in immediately available funds.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Ordinary Shares are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the Pre-Funded Warrants, the Lock-Up Agreements, the Placement Agency Agreement and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Transhare Corporation, with a mailing address of 17755 North US Highway 19 Suite 140, Clearwater, FL 33762, and any successor transfer agent of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Variable Rate Transaction</w:t>
      </w:r>
      <w:r>
        <w:rPr>
          <w:rFonts w:ascii="Times New Roman" w:cs="Times New Roman" w:eastAsia="Times New Roman" w:hAnsi="Times New Roman"/>
          <w:sz w:val="18"/>
          <w:szCs w:val="18"/>
          <w:color w:val="auto"/>
        </w:rPr>
        <w:t>” shall have the meaning ascribed to such term in Section 4.10(b).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On the Closing Date, upon the terms and subject to the conditions set forth herein, the Company agrees to sell, and the Purchasers, severally and not jointly, agree to purchase, the aggregate number of Shares set forth under the heading “Subscription Amount” on each Purchaser’s signature page hereto, at the Per Share Purchase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to the extent that a Purchaser determines, in its sole discretion, that such Purchaser (together with such Purchaser’s Affiliates, and any Person acting as a group together with such Purchaser or any of such Purchaser’s Affiliates) would beneficially own in excess of the Beneficial Ownership Limitation, or as such Purchaser may otherwise choose, in lieu of purchasing Ordinary Shares, such Purchaser may elect to purchase Pre-Funded Warrants in such manner to result in the full Subscription Amount being paid by such Purchaser to the Company. Provided, further, that to the extent that a Purchaser will beneficially own in excess of 9.99% of the number of Ordinary Shares outstanding immediately after giving effect to the issuance of the Securities on the Closing Date, such Purchaser shall, in lieu of purchasing Shares, purchase Pre-Funded Warrants in such manner to result in such Purchaser not exceeding beneficial ownership of 9.99% and to result in the same aggregate purchase price being paid by such Purchaser to the Company. The “</w:t>
      </w:r>
      <w:r>
        <w:rPr>
          <w:rFonts w:ascii="Times New Roman" w:cs="Times New Roman" w:eastAsia="Times New Roman" w:hAnsi="Times New Roman"/>
          <w:sz w:val="18"/>
          <w:szCs w:val="18"/>
          <w:u w:val="single" w:color="auto"/>
          <w:color w:val="auto"/>
        </w:rPr>
        <w:t>Beneficial Ownership Limitation</w:t>
      </w:r>
      <w:r>
        <w:rPr>
          <w:rFonts w:ascii="Times New Roman" w:cs="Times New Roman" w:eastAsia="Times New Roman" w:hAnsi="Times New Roman"/>
          <w:sz w:val="18"/>
          <w:szCs w:val="18"/>
          <w:color w:val="auto"/>
        </w:rPr>
        <w:t>” shall be 9.99% or 4.99% (or, at the election of the Purchaser, 9.99%) of the number of Ordinary Shares, in each case, outstanding immediately after giving effect to the issuance of the Securities on the Closing Date.</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Each Purchaser’s Subscription Amount as set forth on the signature page hereto executed by such Purchaser shall be made available for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settlement with the Company or its designees. The Company shall deliver to each Purchaser its respective Shares and Pre-Funded Warrants as determined pursuant to Section 2.2(a), and the Company and each Purchaser shall deliver the other items set forth in Section 2.2 at the Closing. Upon satisfaction of the covenants and conditions set forth in Sections 2.2 and 2.3, the Closing shall occur at the offices of Placement Agent Counsel or such other location as the parties shall mutually agree. Unless otherwise directed by the Placement Agent, settlement of the Shares shall occur via DVP. On the Closing Date, payment for the Shares and/or the Pre-Funded Warrants shall be made by the Placement Agent (or its clearing firm) by wire transfer to the Company; upon receipt of such funds, the Company shall issue the Shares registered in the Purchasers’ names and addresses and released by the Transfer Agent directly to the account(s) identified by each Purchaser. Notwithstanding anything herein to the contrary, if at any time on or after the time of execution of this Agreement by the Company and an applicable Purchaser through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any Shares to be issued hereunder to such Purchaser at the Closing (collectively, the “</w:t>
      </w:r>
      <w:r>
        <w:rPr>
          <w:rFonts w:ascii="Times New Roman" w:cs="Times New Roman" w:eastAsia="Times New Roman" w:hAnsi="Times New Roman"/>
          <w:sz w:val="18"/>
          <w:szCs w:val="18"/>
          <w:u w:val="single" w:color="auto"/>
          <w:color w:val="auto"/>
        </w:rPr>
        <w:t>Pre-Settlement Shares</w:t>
      </w:r>
      <w:r>
        <w:rPr>
          <w:rFonts w:ascii="Times New Roman" w:cs="Times New Roman" w:eastAsia="Times New Roman" w:hAnsi="Times New Roman"/>
          <w:sz w:val="18"/>
          <w:szCs w:val="18"/>
          <w:color w:val="auto"/>
        </w:rPr>
        <w:t>”), such Person shall, automatically hereunder (without any additional required actions by such Purchaser or the Company), be deemed to be a Purchaser under this Agreement unconditionally bound to purchase, and the Company shall be deemed unconditionally bound to sell, such Pre-Settlement Shares at the Closing; provided, that the Company shall not be required to deliver any Pre-Settlement Shares to such Purchaser prior to the Company’s receipt of the Subscription Amount for such Pre-Settlement Shares hereunder; provided, further, that the Company hereby acknowledges and agrees that the forgoing shall not constitute a representation or covenant by such Purchaser as to whether or not such Purchaser will elect to sell any Pre-Settlement Shares during the Pre-Settlement Period. The decision to sell any Shares will be made in the sole discretion of such Purchaser from time to time, including during the Pre-Settlement Period. Notwithstanding the foregoing, with respect to any Notice(s) of Exercise (as defined in the Pre-Funded Warrants) delivered on or prior to 12:00 p.m. (New York City time) on the Closing Date, which may be delivered at any time after the time of execution of this Agreement, the Company agrees to deliver the Pre-Funded Warrant Shares subject to such notice(s) by 4:00 p.m. (New York City time) on the Closing Date and the Closing Date shall be the Warrant Share Delivery Date (as defined in the Pre-Funded Warrants) for purposes hereunder.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880" w:hanging="236"/>
        <w:spacing w:after="0"/>
        <w:tabs>
          <w:tab w:leader="none" w:pos="8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the Company shall deliver or cause to be delivered to each Purchaser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Company;</w:t>
      </w:r>
    </w:p>
    <w:p>
      <w:pPr>
        <w:spacing w:after="0" w:line="225" w:lineRule="exact"/>
        <w:rPr>
          <w:rFonts w:ascii="Times New Roman" w:cs="Times New Roman" w:eastAsia="Times New Roman" w:hAnsi="Times New Roman"/>
          <w:sz w:val="18"/>
          <w:szCs w:val="18"/>
          <w:color w:val="auto"/>
        </w:rPr>
      </w:pPr>
    </w:p>
    <w:p>
      <w:pPr>
        <w:ind w:firstLine="1292"/>
        <w:spacing w:after="0" w:line="282" w:lineRule="auto"/>
        <w:tabs>
          <w:tab w:leader="none" w:pos="157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opinion of each of Company U.S. Counsel, Company PRC Counsel and Company Cayman Counsel, each in a form reasonably acceptable to the Purchasers and the Placement Agent;</w:t>
      </w:r>
    </w:p>
    <w:p>
      <w:pPr>
        <w:spacing w:after="0" w:line="161" w:lineRule="exact"/>
        <w:rPr>
          <w:rFonts w:ascii="Times New Roman" w:cs="Times New Roman" w:eastAsia="Times New Roman" w:hAnsi="Times New Roman"/>
          <w:sz w:val="18"/>
          <w:szCs w:val="18"/>
          <w:color w:val="auto"/>
        </w:rPr>
      </w:pPr>
    </w:p>
    <w:p>
      <w:pPr>
        <w:ind w:left="1620" w:hanging="328"/>
        <w:spacing w:after="0"/>
        <w:tabs>
          <w:tab w:leader="none" w:pos="162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wire instructions, on Company letterhead and executed by the Company’s Chief Executive Officer or Chief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Officer;</w:t>
      </w:r>
    </w:p>
    <w:p>
      <w:pPr>
        <w:spacing w:after="0" w:line="206" w:lineRule="exact"/>
        <w:rPr>
          <w:rFonts w:ascii="Times New Roman" w:cs="Times New Roman" w:eastAsia="Times New Roman" w:hAnsi="Times New Roman"/>
          <w:sz w:val="18"/>
          <w:szCs w:val="18"/>
          <w:color w:val="auto"/>
        </w:rPr>
      </w:pPr>
    </w:p>
    <w:p>
      <w:pPr>
        <w:jc w:val="both"/>
        <w:ind w:right="20" w:firstLine="1292"/>
        <w:spacing w:after="0" w:line="266" w:lineRule="auto"/>
        <w:tabs>
          <w:tab w:leader="none" w:pos="160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 a copy of the irrevocable instructions to the Transfer Agent instructing the Transfer Agent to deliver on an expedited basis via The Depository Trust Company Deposit or Withdrawal at Custodian system (“DWAC”) Ordinary Shares equal to the portion of such Purchaser’s Subscription Amount divided by the Per Share Purchase Price, registered in the name of such Purchaser;</w:t>
      </w:r>
    </w:p>
    <w:p>
      <w:pPr>
        <w:spacing w:after="0" w:line="175" w:lineRule="exact"/>
        <w:rPr>
          <w:rFonts w:ascii="Times New Roman" w:cs="Times New Roman" w:eastAsia="Times New Roman" w:hAnsi="Times New Roman"/>
          <w:sz w:val="18"/>
          <w:szCs w:val="18"/>
          <w:color w:val="auto"/>
        </w:rPr>
      </w:pPr>
    </w:p>
    <w:p>
      <w:pPr>
        <w:ind w:left="1560" w:hanging="268"/>
        <w:spacing w:after="0"/>
        <w:tabs>
          <w:tab w:leader="none" w:pos="156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and the Prospectus Supplement (which may be delivered in accordance with Rule 172 under the Securities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and</w:t>
      </w:r>
    </w:p>
    <w:p>
      <w:pPr>
        <w:spacing w:after="0" w:line="206" w:lineRule="exact"/>
        <w:rPr>
          <w:rFonts w:ascii="Times New Roman" w:cs="Times New Roman" w:eastAsia="Times New Roman" w:hAnsi="Times New Roman"/>
          <w:sz w:val="18"/>
          <w:szCs w:val="18"/>
          <w:color w:val="auto"/>
        </w:rPr>
      </w:pPr>
    </w:p>
    <w:p>
      <w:pPr>
        <w:jc w:val="both"/>
        <w:ind w:firstLine="1292"/>
        <w:spacing w:after="0" w:line="266" w:lineRule="auto"/>
        <w:tabs>
          <w:tab w:leader="none" w:pos="161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Purchaser of Pre-Funded Warrants pursuant to Section 2.1, a Pre-Funded Warrant registered in the name of such Purchaser to purchase up to a number of Ordinary Shares equal to the portion of such Purchaser’s Subscription Amount applicable to Pre-Funded Warrants divided by the Per Pre-Funded Warrant Purchase Price, subject to adjustment as specified therein;</w:t>
      </w:r>
    </w:p>
    <w:p>
      <w:pPr>
        <w:spacing w:after="0" w:line="175" w:lineRule="exact"/>
        <w:rPr>
          <w:rFonts w:ascii="Times New Roman" w:cs="Times New Roman" w:eastAsia="Times New Roman" w:hAnsi="Times New Roman"/>
          <w:sz w:val="18"/>
          <w:szCs w:val="18"/>
          <w:color w:val="auto"/>
        </w:rPr>
      </w:pPr>
    </w:p>
    <w:p>
      <w:pPr>
        <w:ind w:firstLine="1292"/>
        <w:spacing w:after="0" w:line="282" w:lineRule="auto"/>
        <w:tabs>
          <w:tab w:leader="none" w:pos="166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executed by the Company’s Chief Financial Officer of the Company, dated as of the date of Closing, in form and substance reasonable acceptable to the Purchasers and Placement Agent;</w:t>
      </w:r>
    </w:p>
    <w:p>
      <w:pPr>
        <w:spacing w:after="0" w:line="161" w:lineRule="exact"/>
        <w:rPr>
          <w:rFonts w:ascii="Times New Roman" w:cs="Times New Roman" w:eastAsia="Times New Roman" w:hAnsi="Times New Roman"/>
          <w:sz w:val="18"/>
          <w:szCs w:val="18"/>
          <w:color w:val="auto"/>
        </w:rPr>
      </w:pPr>
    </w:p>
    <w:p>
      <w:pPr>
        <w:ind w:firstLine="1292"/>
        <w:spacing w:after="0" w:line="282" w:lineRule="auto"/>
        <w:tabs>
          <w:tab w:leader="none" w:pos="172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Secretary’s certificate executed by an officer of the Company, dated as of the date of Closing, in form and substance reasonable acceptable to the Purchasers and Placement Agent;</w:t>
      </w:r>
    </w:p>
    <w:p>
      <w:pPr>
        <w:spacing w:after="0" w:line="161" w:lineRule="exact"/>
        <w:rPr>
          <w:rFonts w:ascii="Times New Roman" w:cs="Times New Roman" w:eastAsia="Times New Roman" w:hAnsi="Times New Roman"/>
          <w:sz w:val="18"/>
          <w:szCs w:val="18"/>
          <w:color w:val="auto"/>
        </w:rPr>
      </w:pPr>
    </w:p>
    <w:p>
      <w:pPr>
        <w:ind w:left="1600" w:hanging="308"/>
        <w:spacing w:after="0"/>
        <w:tabs>
          <w:tab w:leader="none" w:pos="16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Lock-Up Agreements; and</w:t>
      </w:r>
    </w:p>
    <w:p>
      <w:pPr>
        <w:spacing w:after="0" w:line="225" w:lineRule="exact"/>
        <w:rPr>
          <w:rFonts w:ascii="Times New Roman" w:cs="Times New Roman" w:eastAsia="Times New Roman" w:hAnsi="Times New Roman"/>
          <w:sz w:val="18"/>
          <w:szCs w:val="18"/>
          <w:color w:val="auto"/>
        </w:rPr>
      </w:pPr>
    </w:p>
    <w:p>
      <w:pPr>
        <w:ind w:left="1540" w:hanging="248"/>
        <w:spacing w:after="0"/>
        <w:tabs>
          <w:tab w:leader="none" w:pos="1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documents reasonably requested by the Purchasers and Placement Agent.</w:t>
      </w:r>
    </w:p>
    <w:p>
      <w:pPr>
        <w:spacing w:after="0" w:line="225" w:lineRule="exact"/>
        <w:rPr>
          <w:rFonts w:ascii="Times New Roman" w:cs="Times New Roman" w:eastAsia="Times New Roman" w:hAnsi="Times New Roman"/>
          <w:sz w:val="18"/>
          <w:szCs w:val="18"/>
          <w:color w:val="auto"/>
        </w:rPr>
      </w:pPr>
    </w:p>
    <w:p>
      <w:pPr>
        <w:ind w:left="900" w:hanging="256"/>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Closing Date, each Purchaser shall deliver or cause to be delivered to the Company, the following:</w:t>
      </w:r>
    </w:p>
    <w:p>
      <w:pPr>
        <w:spacing w:after="0" w:line="225" w:lineRule="exact"/>
        <w:rPr>
          <w:rFonts w:ascii="Times New Roman" w:cs="Times New Roman" w:eastAsia="Times New Roman" w:hAnsi="Times New Roman"/>
          <w:sz w:val="18"/>
          <w:szCs w:val="18"/>
          <w:color w:val="auto"/>
        </w:rPr>
      </w:pPr>
    </w:p>
    <w:p>
      <w:pPr>
        <w:ind w:left="1500" w:hanging="208"/>
        <w:spacing w:after="0"/>
        <w:tabs>
          <w:tab w:leader="none" w:pos="150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such Purchaser; and</w:t>
      </w:r>
    </w:p>
    <w:p>
      <w:pPr>
        <w:spacing w:after="0" w:line="225" w:lineRule="exact"/>
        <w:rPr>
          <w:rFonts w:ascii="Times New Roman" w:cs="Times New Roman" w:eastAsia="Times New Roman" w:hAnsi="Times New Roman"/>
          <w:sz w:val="18"/>
          <w:szCs w:val="18"/>
          <w:color w:val="auto"/>
        </w:rPr>
      </w:pPr>
    </w:p>
    <w:p>
      <w:pPr>
        <w:ind w:firstLine="1292"/>
        <w:spacing w:after="0" w:line="282" w:lineRule="auto"/>
        <w:tabs>
          <w:tab w:leader="none" w:pos="158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Purchaser’s Subscription Amount with respect to the Securities purchased by such Purchaser, which shall be made available for DVP settlement with the Company or its designees.</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9" w:name="page30"/>
    <w:bookmarkEnd w:id="29"/>
    <w:p>
      <w:pPr>
        <w:ind w:left="6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540" w:hanging="236"/>
        <w:spacing w:after="0"/>
        <w:tabs>
          <w:tab w:leader="none" w:pos="1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hereunder in connection with the Closing are subject to the following conditions being met:</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66" w:lineRule="auto"/>
        <w:tabs>
          <w:tab w:leader="none" w:pos="218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660" w:right="20" w:firstLine="1292"/>
        <w:spacing w:after="0" w:line="282" w:lineRule="auto"/>
        <w:tabs>
          <w:tab w:leader="none" w:pos="223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covenants and agreements of each Purchaser required to be performed at or prior to the Closing Date shall have been performed; and</w:t>
      </w:r>
    </w:p>
    <w:p>
      <w:pPr>
        <w:spacing w:after="0" w:line="161"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each Purchaser of the items set forth in Section 2.2(b) of this Agreement.</w:t>
      </w:r>
    </w:p>
    <w:p>
      <w:pPr>
        <w:spacing w:after="0" w:line="225"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Purchasers hereunder in connection with the Closing are subject to the following conditions being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60" w:firstLine="1292"/>
        <w:spacing w:after="0" w:line="266" w:lineRule="auto"/>
        <w:tabs>
          <w:tab w:leader="none" w:pos="218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175" w:lineRule="exact"/>
        <w:rPr>
          <w:rFonts w:ascii="Times New Roman" w:cs="Times New Roman" w:eastAsia="Times New Roman" w:hAnsi="Times New Roman"/>
          <w:sz w:val="18"/>
          <w:szCs w:val="18"/>
          <w:color w:val="auto"/>
        </w:rPr>
      </w:pPr>
    </w:p>
    <w:p>
      <w:pPr>
        <w:ind w:left="2220" w:hanging="268"/>
        <w:spacing w:after="0"/>
        <w:tabs>
          <w:tab w:leader="none" w:pos="222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obligations, covenants and agreements of the Company required to be performed at or prior to the Closing Date shall have</w:t>
      </w:r>
    </w:p>
    <w:p>
      <w:pPr>
        <w:spacing w:after="0" w:line="38" w:lineRule="exact"/>
        <w:rPr>
          <w:rFonts w:ascii="Times New Roman" w:cs="Times New Roman" w:eastAsia="Times New Roman" w:hAnsi="Times New Roman"/>
          <w:sz w:val="17"/>
          <w:szCs w:val="17"/>
          <w:color w:val="auto"/>
        </w:rPr>
      </w:pPr>
    </w:p>
    <w:p>
      <w:pPr>
        <w:ind w:left="6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been performed;</w:t>
      </w:r>
    </w:p>
    <w:p>
      <w:pPr>
        <w:spacing w:after="0" w:line="206" w:lineRule="exact"/>
        <w:rPr>
          <w:rFonts w:ascii="Times New Roman" w:cs="Times New Roman" w:eastAsia="Times New Roman" w:hAnsi="Times New Roman"/>
          <w:sz w:val="17"/>
          <w:szCs w:val="17"/>
          <w:color w:val="auto"/>
        </w:rPr>
      </w:pPr>
    </w:p>
    <w:p>
      <w:pPr>
        <w:ind w:left="2260" w:hanging="308"/>
        <w:spacing w:after="0"/>
        <w:tabs>
          <w:tab w:leader="none" w:pos="2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of the items set forth in Section 2.2(a) of this Agreement;</w:t>
      </w:r>
    </w:p>
    <w:p>
      <w:pPr>
        <w:spacing w:after="0" w:line="225" w:lineRule="exact"/>
        <w:rPr>
          <w:rFonts w:ascii="Times New Roman" w:cs="Times New Roman" w:eastAsia="Times New Roman" w:hAnsi="Times New Roman"/>
          <w:sz w:val="18"/>
          <w:szCs w:val="18"/>
          <w:color w:val="auto"/>
        </w:rPr>
      </w:pPr>
    </w:p>
    <w:p>
      <w:pPr>
        <w:ind w:left="2260" w:hanging="308"/>
        <w:spacing w:after="0"/>
        <w:tabs>
          <w:tab w:leader="none" w:pos="22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by the Company to the Placement Agent of copies of the executed Lock-Up Agreements;</w:t>
      </w:r>
    </w:p>
    <w:p>
      <w:pPr>
        <w:spacing w:after="0" w:line="225" w:lineRule="exact"/>
        <w:rPr>
          <w:rFonts w:ascii="Times New Roman" w:cs="Times New Roman" w:eastAsia="Times New Roman" w:hAnsi="Times New Roman"/>
          <w:sz w:val="18"/>
          <w:szCs w:val="18"/>
          <w:color w:val="auto"/>
        </w:rPr>
      </w:pPr>
    </w:p>
    <w:p>
      <w:pPr>
        <w:ind w:left="2200" w:hanging="248"/>
        <w:spacing w:after="0"/>
        <w:tabs>
          <w:tab w:leader="none" w:pos="22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been no Material Adverse Effect with respect to the Company since the date hereof; and</w:t>
      </w:r>
    </w:p>
    <w:p>
      <w:pPr>
        <w:spacing w:after="0" w:line="225" w:lineRule="exact"/>
        <w:rPr>
          <w:rFonts w:ascii="Times New Roman" w:cs="Times New Roman" w:eastAsia="Times New Roman" w:hAnsi="Times New Roman"/>
          <w:sz w:val="18"/>
          <w:szCs w:val="18"/>
          <w:color w:val="auto"/>
        </w:rPr>
      </w:pPr>
    </w:p>
    <w:p>
      <w:pPr>
        <w:jc w:val="both"/>
        <w:ind w:left="660" w:firstLine="1292"/>
        <w:spacing w:after="0" w:line="255" w:lineRule="auto"/>
        <w:tabs>
          <w:tab w:leader="none" w:pos="226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to the Closing Date, trading in the Ordinary Shares shall not have been suspended by the Commission or any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New York State or Israeli authorities nor shall there have occurred after the date of this Agreement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made herein to the extent of the disclosures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firstLine="1304"/>
        <w:spacing w:after="0" w:line="261" w:lineRule="auto"/>
        <w:tabs>
          <w:tab w:leader="none" w:pos="1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All of the direct and indirect subsidiaries of the Company are set forth on Schedule 3.1(a).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304"/>
        <w:spacing w:after="0" w:line="253" w:lineRule="auto"/>
        <w:tabs>
          <w:tab w:leader="none" w:pos="156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if applicable under the laws of the jurisdiction in which they are formed,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memorandum of association, articles of association, certificate or articles of incorporation, bylaws, operating agreement,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provided that a change in market price or trading volume of the Ordinary Shares alone shall not be deemed, in and of itself, to constitute a Material Adverse Effect. No Proceeding has been instituted in any such jurisdiction revoking, limiting or curtailing or seeking to revoke, limit or curtail such power and authority or qualification.</w:t>
      </w:r>
    </w:p>
    <w:p>
      <w:pPr>
        <w:spacing w:after="0" w:line="187"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a committee of the Board of Directors or the Company’s shareholders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5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memorandum of association, articles of association, certificate or articles of incorporation, bylaws, operating agreement,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8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notices and/or application(s) to and approvals by each applicable Trading Market for the listing of the applicable Securities for trading thereon in the time and manner required thereby, (iv) the filing of Form D with the Commission and (v)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304"/>
        <w:spacing w:after="0" w:line="252" w:lineRule="auto"/>
        <w:tabs>
          <w:tab w:leader="none" w:pos="152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Issuance of the Securities; Registration</w:t>
      </w:r>
      <w:r>
        <w:rPr>
          <w:rFonts w:ascii="Times New Roman" w:cs="Times New Roman" w:eastAsia="Times New Roman" w:hAnsi="Times New Roman"/>
          <w:sz w:val="18"/>
          <w:szCs w:val="18"/>
          <w:color w:val="auto"/>
        </w:rPr>
        <w:t>. The Shares and Pre-Funded Warrant Shares are duly authorized and, when issued and paid for in accordance with the applicable Transaction Documents, will be duly and validly issued, fully paid and non-assessable, free and clear of all Liens imposed by the Company. The Company has prepared and filed the Registration Statement in conformity with the requirements of the Securities Act, which Registration Statement became effective on June 13, 2025,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 At the time the Registration Statement and any amendments thereto became effective as determined under the Securities Act,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is a “foreign private issuer” as defined in Rule 405 of Regulation C under the Securities Act and Rule 3b-4 under the Exchange Act. The Company is eligible to use Form F-3 under the Securities Act and it meets the transaction requirements with respect to the aggregate market value of securities being sold pursuant to this offering, as set forth in General Instruction I.B.1 of Form F-3.</w:t>
      </w:r>
    </w:p>
    <w:p>
      <w:pPr>
        <w:spacing w:after="0" w:line="191" w:lineRule="exact"/>
        <w:rPr>
          <w:rFonts w:ascii="Times New Roman" w:cs="Times New Roman" w:eastAsia="Times New Roman" w:hAnsi="Times New Roman"/>
          <w:sz w:val="18"/>
          <w:szCs w:val="18"/>
          <w:color w:val="auto"/>
        </w:rPr>
      </w:pPr>
    </w:p>
    <w:p>
      <w:pPr>
        <w:jc w:val="both"/>
        <w:ind w:firstLine="1304"/>
        <w:spacing w:after="0" w:line="252" w:lineRule="auto"/>
        <w:tabs>
          <w:tab w:leader="none" w:pos="156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equity capitalization of the Company as of the date hereof is as set forth on Schedule 3.1(g), which Schedule 3.1(g) shall also include the number of Ordinary Shares owned beneficially, and of record, by Affiliates of the Company as of the date hereof. Except as set forth on Schedule 3.1(g), the Company has not issued any capital stock since its most recently filed periodic report under the Exchange Act. No Person has any right of first refusal, preemptive right, right of participation, or any similar right to participate in the transactions contemplated by the Transaction Documents. Except as disclosed on Schedule 3.1(g) and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Ordinary Shares, or contracts, commitments, understandings or arrangements by which the Company or any Subsidiary is or may become bound to issue additional Ordinary Shares or Ordinary Share Equivalents. The issuance and sale of the Securities will not obligate the Company or any Subsidiary to issue Ordinary Shares or other securities to any Person (other than the Purchasers). There are no outstanding securities or instruments of the Company or any Subsidiary with any provision that adjusts the exercise, conversion, exchange or reset price under any of such securities.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share appreciation rights or “phantom share” plans or agreements or any similar plan or agreement. All of the outstanding Ordinary Shares of the Company are duly authorized, validly issued, fully paid and non-assessable, have been issued in compliance with all federal and state securities laws where applicable, and none of such outstanding Ordinary Shares was issued in violation of any preemptive rights or similar rights to subscribe for or purchase securities. Except for the Required Approvals, no further approval or authorization of any shareholder, the Board of Directors or others is required for the issuance and sale of the Securities. There are no shareholders agreements, voting agreements or other similar agreements with respect to the Company’s share capital to which the Company is a party or, to the knowledge of the Company, between or among any of the Company’s shareholders.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1304"/>
        <w:spacing w:after="0" w:line="252" w:lineRule="auto"/>
        <w:tabs>
          <w:tab w:leader="none" w:pos="155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Reports; Financial Statements</w:t>
      </w:r>
      <w:r>
        <w:rPr>
          <w:rFonts w:ascii="Times New Roman" w:cs="Times New Roman" w:eastAsia="Times New Roman" w:hAnsi="Times New Roman"/>
          <w:sz w:val="18"/>
          <w:szCs w:val="18"/>
          <w:color w:val="auto"/>
        </w:rPr>
        <w:t>. The Company has filed all reports, schedules, forms, statements and other documents required to be filed by the Company under the Securities Act and the Exchange Act, including pursuant to Section 13(a) or 15(d) thereof, for the two (2)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GAAP,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9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11"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on Schedule 3(i),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strategic acquisitions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shareholders or purchased, redeemed or made any agreements to purchase or redeem any of its Ordinary Shares and (v) the Company has not issued any equity securities to any officer, director or Affiliate, except pursuant to existing Company share option plans. Except for the issuance of the Securities contemplated by this Agreement or as set forth on Schedule 3(i),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189"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3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which could have or reasonably be expected to result in a Material Adverse Effect.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304"/>
        <w:spacing w:after="0" w:line="253"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applicable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4"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1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of (i), (ii) and (iii) as could not have or reasonably be expected to result in a Material Adverse Effect.</w:t>
      </w:r>
    </w:p>
    <w:p>
      <w:pPr>
        <w:spacing w:after="0" w:line="19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certificates, authorizations or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79" w:lineRule="exact"/>
        <w:rPr>
          <w:rFonts w:ascii="Times New Roman" w:cs="Times New Roman" w:eastAsia="Times New Roman" w:hAnsi="Times New Roman"/>
          <w:sz w:val="18"/>
          <w:szCs w:val="18"/>
          <w:color w:val="auto"/>
        </w:rPr>
      </w:pPr>
    </w:p>
    <w:p>
      <w:pPr>
        <w:jc w:val="both"/>
        <w:ind w:firstLine="1304"/>
        <w:spacing w:after="0" w:line="255" w:lineRule="auto"/>
        <w:tabs>
          <w:tab w:leader="none" w:pos="15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 in all material respects.</w:t>
      </w:r>
    </w:p>
    <w:p>
      <w:pPr>
        <w:spacing w:after="0" w:line="188"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6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except as would not reasonably be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1560" w:hanging="256"/>
        <w:spacing w:after="0"/>
        <w:tabs>
          <w:tab w:leader="none" w:pos="15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3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Transactions with Affiliates and Employees</w:t>
      </w:r>
      <w:r>
        <w:rPr>
          <w:rFonts w:ascii="Times New Roman" w:cs="Times New Roman" w:eastAsia="Times New Roman" w:hAnsi="Times New Roman"/>
          <w:sz w:val="18"/>
          <w:szCs w:val="18"/>
          <w:color w:val="auto"/>
        </w:rPr>
        <w:t>. Except as set forth on Schedule 3(s),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shareholder, member or partner, in each case in excess of $120,000 other than for (i) payment of salary or consulting fees for services rendered, (ii) reimbursement for expenses incurred on behalf of the Company or a Subsidiary and (iii) other employee benefits, including share option agreements under any share option plan of the Company.</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2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Sarbanes-Oxley; Internal Accounting Controls; Disclosure Controls</w:t>
      </w:r>
      <w:r>
        <w:rPr>
          <w:rFonts w:ascii="Times New Roman" w:cs="Times New Roman" w:eastAsia="Times New Roman" w:hAnsi="Times New Roman"/>
          <w:sz w:val="18"/>
          <w:szCs w:val="18"/>
          <w:color w:val="auto"/>
        </w:rPr>
        <w:t>. The Company and the Subsidiaries are in material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Except as disclosed in the SEC Reports, the Company maintains systems of disclosure controls and “internal controls over financial reporting” (as defined under Rules 13a-15 and 15d-15 under the Exchange Act) that comply with the requirements of the Exchange Act and have been designed by, or under the supervision of, the Company’s principal executive and principal financial officers, or persons performing similar functions, to provide reasonable assurance regarding the reliability of financial reporting and the preparation of financial statements for external purposes in accordance with GAAP,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Since the date of the latest audited financial statements included in the Registration Statement and the Prospectus, there has been no change in the Company’s internal control over financial reporting that has materially affected, or is reasonably likely to materially affect, the Company’s internal control over financial reporting.</w:t>
      </w:r>
    </w:p>
    <w:p>
      <w:pPr>
        <w:spacing w:after="0" w:line="189"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Except as set forth in the Prospectus Supplement, no brokerage or finder’s fees or commissions are or will be payable by the Company or any Subsidiary to any broker, placement agent or consultant, finder, placement agent, investment banker, bank or other Person with respect to the transactions contemplated by the Transaction Documents (for the avoidance of doubt, the foregoing shall not include any fees and/or commissions owed to the Transfer Agent). Other than for Persons engaged by any Purchaser, if any,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Company</w:t>
      </w:r>
      <w:r>
        <w:rPr>
          <w:rFonts w:ascii="Times New Roman" w:cs="Times New Roman" w:eastAsia="Times New Roman" w:hAnsi="Times New Roman"/>
          <w:sz w:val="18"/>
          <w:szCs w:val="18"/>
          <w:color w:val="auto"/>
        </w:rPr>
        <w:t>. The Company is not, and immediately after receipt of payment for the Securities, will not be an “investment company” within the meaning of the Investment Company Act of 1940, as amended.</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w:t>
      </w:r>
      <w:r>
        <w:rPr>
          <w:rFonts w:ascii="Times New Roman" w:cs="Times New Roman" w:eastAsia="Times New Roman" w:hAnsi="Times New Roman"/>
          <w:sz w:val="18"/>
          <w:szCs w:val="18"/>
          <w:color w:val="auto"/>
        </w:rPr>
        <w:t>. No Person has any right to cause the Company to effect the registration under the Securities Act of any securities of the Company or any Subsidiary.</w:t>
      </w:r>
    </w:p>
    <w:p>
      <w:pPr>
        <w:spacing w:after="0" w:line="16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Ordinary Shares are registered pursuant to Section 12(b) or 12(g) of the Exchange Act, and the Company has taken no action designed to, or which to its knowledge is likely to have the effect of, terminating the registration of the Ordinary Shares under the Exchange Act nor has the Company received any notification that the Commission is contemplating terminating such registration. Except as disclosed in the SEC Reports, the Company has not, in the twelve (12) months preceding the date hereof, received notice from any Trading Market on which the Ordinary Shares are or has been listed or quoted to the effect that the Company is not in compliance with the listing or maintenance requirements of such Trading Market. Except as described in Disclosure Schedule 3.1(x), the Company is, and has no reason to believe that it will not in the foreseeable future continue to be, in compliance with all such listing and maintenance requirements. The Ordinary Shares are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304"/>
        <w:spacing w:after="0" w:line="253" w:lineRule="auto"/>
        <w:tabs>
          <w:tab w:leader="none" w:pos="1551"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or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is true and correct in all material respects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(12)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 The Company acknowledges and believes that no Purchaser makes or has made any representations or warranties with respect to the transactions contemplated hereby other than those specifically set forth in Section 3.2 hereof.</w:t>
      </w:r>
    </w:p>
    <w:p>
      <w:pPr>
        <w:spacing w:after="0" w:line="18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Integrated Offering</w:t>
      </w:r>
      <w:r>
        <w:rPr>
          <w:rFonts w:ascii="Times New Roman" w:cs="Times New Roman" w:eastAsia="Times New Roman" w:hAnsi="Times New Roman"/>
          <w:sz w:val="18"/>
          <w:szCs w:val="18"/>
          <w:color w:val="auto"/>
        </w:rPr>
        <w:t xml:space="preserve">. Assuming the accuracy of the Purchasers’ representations and warranties set forth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183" w:lineRule="exact"/>
        <w:rPr>
          <w:sz w:val="20"/>
          <w:szCs w:val="20"/>
          <w:color w:val="auto"/>
        </w:rPr>
      </w:pPr>
    </w:p>
    <w:p>
      <w:pPr>
        <w:jc w:val="both"/>
        <w:ind w:firstLine="1304"/>
        <w:spacing w:after="0" w:line="266" w:lineRule="auto"/>
        <w:tabs>
          <w:tab w:leader="none" w:pos="1620" w:val="left"/>
        </w:tabs>
        <w:numPr>
          <w:ilvl w:val="1"/>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Solvency</w:t>
      </w:r>
      <w:r>
        <w:rPr>
          <w:rFonts w:ascii="Times New Roman" w:cs="Times New Roman" w:eastAsia="Times New Roman" w:hAnsi="Times New Roman"/>
          <w:sz w:val="17"/>
          <w:szCs w:val="17"/>
          <w:color w:val="auto"/>
        </w:rPr>
        <w:t>. Based on the consolidated financial condition of the Company as of the Closing Date,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(1) year from the Closing Date. The SEC Reports set forth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(x) any liabilities for borrowed money or amounts owed by the Company in excess of $50,000 (other than trade accounts payable incurred in the ordinary course of business),</w:t>
      </w:r>
    </w:p>
    <w:p>
      <w:pPr>
        <w:spacing w:after="0" w:line="9" w:lineRule="exact"/>
        <w:rPr>
          <w:rFonts w:ascii="Times New Roman" w:cs="Times New Roman" w:eastAsia="Times New Roman" w:hAnsi="Times New Roman"/>
          <w:sz w:val="17"/>
          <w:szCs w:val="17"/>
          <w:color w:val="auto"/>
        </w:rPr>
      </w:pPr>
    </w:p>
    <w:p>
      <w:pPr>
        <w:jc w:val="both"/>
        <w:ind w:firstLine="8"/>
        <w:spacing w:after="0" w:line="253" w:lineRule="auto"/>
        <w:tabs>
          <w:tab w:leader="none" w:pos="25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guaranties, endorsements and other contingent obligations in respect of indebtedness of others to third parties,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1304"/>
        <w:spacing w:after="0" w:line="255" w:lineRule="auto"/>
        <w:tabs>
          <w:tab w:leader="none" w:pos="164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Compliance</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federal, state and local income and all foreign income and franchise tax returns, reports and declarations required by any jurisdiction to which it is subject, (ii) has paid all taxes and other governmental assessments and charges, fines or penalties that are material in amount, shown or determined to be due on such returns, reports and declarations and (iii) has set aside on its financial statements provision reasonably adequate for the payment of all material tax liability of which has not been finally determined and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HCL, PLLC.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ended June 30, 2026.</w:t>
      </w:r>
    </w:p>
    <w:p>
      <w:pPr>
        <w:spacing w:after="0" w:line="17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Purchase of Securities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placement agent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88" w:lineRule="exact"/>
        <w:rPr>
          <w:rFonts w:ascii="Times New Roman" w:cs="Times New Roman" w:eastAsia="Times New Roman" w:hAnsi="Times New Roman"/>
          <w:sz w:val="18"/>
          <w:szCs w:val="18"/>
          <w:color w:val="auto"/>
        </w:rPr>
      </w:pPr>
    </w:p>
    <w:p>
      <w:pPr>
        <w:ind w:left="1580" w:hanging="276"/>
        <w:spacing w:after="0"/>
        <w:tabs>
          <w:tab w:leader="none" w:pos="15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Other than as contemplated herein, it is understood and acknowledged by</w:t>
      </w:r>
    </w:p>
    <w:p>
      <w:pPr>
        <w:spacing w:after="0" w:line="27" w:lineRule="exact"/>
        <w:rPr>
          <w:rFonts w:ascii="Times New Roman" w:cs="Times New Roman" w:eastAsia="Times New Roman" w:hAnsi="Times New Roman"/>
          <w:sz w:val="18"/>
          <w:szCs w:val="18"/>
          <w:color w:val="auto"/>
        </w:rPr>
      </w:pPr>
    </w:p>
    <w:p>
      <w:pPr>
        <w:jc w:val="both"/>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that: (i) none of the Purchasers has been asked by the Company to agree, nor has any Purchaser agreed, to desist from purchasing or selling, long and/or short, securities of the Company, or “derivative” securities based on securities issued by the Company or to hold the Shares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Ordinary Shares,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Ordinary Shares are outstanding, and (z) such hedging activities (if any) could reduce the value of the existing shareholders’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92"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6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Ordinary Shares, (ii) sold, bid for, purchased, or, paid any compensation for soliciting purchases of, any of the Ordinary Shares, or (iii) paid or agreed to pay to any Person any compensation for soliciting another to purchase any other securities of the Company, other than, in the case of clauses (ii) and (iii), compensation paid to the Company’s Placement Agent in connection with the placement of the Ordinary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1304"/>
        <w:spacing w:after="0" w:line="261" w:lineRule="auto"/>
        <w:tabs>
          <w:tab w:leader="none" w:pos="1641"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Regulatory</w:t>
      </w:r>
      <w:r>
        <w:rPr>
          <w:rFonts w:ascii="Times New Roman" w:cs="Times New Roman" w:eastAsia="Times New Roman" w:hAnsi="Times New Roman"/>
          <w:sz w:val="18"/>
          <w:szCs w:val="18"/>
          <w:color w:val="auto"/>
        </w:rPr>
        <w:t>. Except as described in the Registration Statement and the Prospectus, as applicable, the Company and its Subsidiaries (i) are and at all times have been in material compliance with all statutes, rules and regulations applicable to its business (collectively, the “</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w:t>
      </w:r>
    </w:p>
    <w:p>
      <w:pPr>
        <w:jc w:val="both"/>
        <w:ind w:firstLine="8"/>
        <w:spacing w:after="0" w:line="251" w:lineRule="auto"/>
        <w:tabs>
          <w:tab w:leader="none" w:pos="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received any notice from any court or arbitrator or governmental or regulatory authority or third party alleging or asserting noncompliance with any Applicable Laws or any licenses, exemptions, certificates, approvals, clearances, authorizations, permits, registrations and supplements or amendments thereto required by any such Applicable Laws (“</w:t>
      </w:r>
      <w:r>
        <w:rPr>
          <w:rFonts w:ascii="Times New Roman" w:cs="Times New Roman" w:eastAsia="Times New Roman" w:hAnsi="Times New Roman"/>
          <w:sz w:val="18"/>
          <w:szCs w:val="18"/>
          <w:u w:val="single" w:color="auto"/>
          <w:color w:val="auto"/>
        </w:rPr>
        <w:t>Authorizations</w:t>
      </w:r>
      <w:r>
        <w:rPr>
          <w:rFonts w:ascii="Times New Roman" w:cs="Times New Roman" w:eastAsia="Times New Roman" w:hAnsi="Times New Roman"/>
          <w:sz w:val="18"/>
          <w:szCs w:val="18"/>
          <w:color w:val="auto"/>
        </w:rPr>
        <w:t>”); (iii) possess all material Authorizations and such Authorizations are valid and in full force and effect and are not in violation of any term of any such Authorizations; (iv) have not received written notice of any claim, action, suit, proceeding, hearing, enforcement, investigation arbitration or other action from any court or arbitrator or governmental or regulatory authority or third party alleging that any product operation or activity is in violation of any Applicable Laws or Authorizations nor is any such claim, action, suit, proceeding, hearing, enforcement, investigation, arbitration or other action threatened; (v) have not received any written notice that any court or arbitrator or governmental or regulatory authority has taken, is taking or intends to take, action to limit, suspend, materially modify or revoke any Authorizations nor is any such limitation, suspension, modification or revocation threatened; (vi) have filed, obtained, maintained or submitted all material reports, documents, forms, notices, applications, records, claims, submissions and supplements or amendments as required by any Applicable Laws or Authorizations and that all such reports, documents, forms, notices, applications, records, claims, submissions and supplements or amendments were complete and accurate on the date filed (or were corrected or supplemented by a subsequent submission); and (vii) are not a party to any corporate integrity agreements, monitoring agreements, consent decrees, settlement orders, or similar agreements with or imposed by any governmental or regulatory authority.</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7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To Company’s knowledge, the Company has and is currently taking the measures required by any and all applicable law or any applicable binding directive, guidelines or requirements of a regulator in all relevant jurisdictions to protect the privacy of any Personal Information (as defined below) (the “</w:t>
      </w:r>
      <w:r>
        <w:rPr>
          <w:rFonts w:ascii="Times New Roman" w:cs="Times New Roman" w:eastAsia="Times New Roman" w:hAnsi="Times New Roman"/>
          <w:sz w:val="18"/>
          <w:szCs w:val="18"/>
          <w:u w:val="single" w:color="auto"/>
          <w:color w:val="auto"/>
        </w:rPr>
        <w:t>Data Privacy Laws</w:t>
      </w:r>
      <w:r>
        <w:rPr>
          <w:rFonts w:ascii="Times New Roman" w:cs="Times New Roman" w:eastAsia="Times New Roman" w:hAnsi="Times New Roman"/>
          <w:sz w:val="18"/>
          <w:szCs w:val="18"/>
          <w:color w:val="auto"/>
        </w:rPr>
        <w:t>”) in connection with Company’s collection, storage, use, transfer of, (a) any personally identifiable information from any individuals, including name, address, telephone number, email address, financial account number, government-issued identifier, and any other data used or intended to be used to identify, contact or precisely locate a person, (b) any information from or about an individual whose use, aggregation, holding or management is restricted under any applicable Law, (c) Internet Protocol address or other persistent identifier; (d) “information” as defined by the Israeli Privacy Protection Law (whether or not such “information” constitutes “sensitive information” as defined thereunder) (collectively “</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to maintain in confidence such Personal Information. To Company’s knowledge, the Company has at all times complied with the Data Privacy Laws, and is in compliance with any contractual obligations, if any, relating to privacy, data protection, and the collection, storage and use of the Personal Information, if any. No claims have been asserted or, to the best knowledge of the Company, are threatened against the Company by any Person alleging a violation of any Person’s or any entity’s privacy, personal or confidentiality rights under the Data Privacy Laws and/or contractual obligations relating to privacy. To the best knowledge of the Company, there has been no unauthorized access to or other misuse of Personal Information. The Company has never reported a data breach to any relevant regulator in any jurisdiction.</w:t>
      </w:r>
    </w:p>
    <w:p>
      <w:pPr>
        <w:spacing w:after="0" w:line="187"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55" w:lineRule="auto"/>
        <w:tabs>
          <w:tab w:leader="none" w:pos="164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Agreements</w:t>
      </w:r>
      <w:r>
        <w:rPr>
          <w:rFonts w:ascii="Times New Roman" w:cs="Times New Roman" w:eastAsia="Times New Roman" w:hAnsi="Times New Roman"/>
          <w:sz w:val="18"/>
          <w:szCs w:val="18"/>
          <w:color w:val="auto"/>
        </w:rPr>
        <w:t>. The agreements and documents described in the Registration Statement or Prospectus conform in all material respects to the descriptions thereof contained or incorporated by reference therein conformed in all material respects to the requirements of the Securities Act or the Exchange Act, as applicable at the time filed, and were filed on a timely basis with the Commission and none of such documents contained an untrue statement of a material fact or omitted to state a material fact necessary to make the statements therein, in the light of the circumstances under which they were made, not misleading; any further documents so filed and there are no agreements or other documents required by the Securities Act and the rules and regulations thereunder to be described in the Prospectus or to be filed with the Commission as exhibits to the Registration Statement or to be incorporated by reference in the Registration Statement or Prospectus, that have not been so described or filed or incorporated by reference.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left="1560" w:hanging="256"/>
        <w:spacing w:after="0"/>
        <w:tabs>
          <w:tab w:leader="none" w:pos="15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Cybersecurity</w:t>
      </w:r>
      <w:r>
        <w:rPr>
          <w:rFonts w:ascii="Times New Roman" w:cs="Times New Roman" w:eastAsia="Times New Roman" w:hAnsi="Times New Roman"/>
          <w:sz w:val="18"/>
          <w:szCs w:val="18"/>
          <w:color w:val="auto"/>
        </w:rPr>
        <w:t>. (i)(x) To the Company’s knowledge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except as would not, individually or in the aggregate for all such matters referred to in this clause (i), have a Material Adverse Effect;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their material confidential information and the integrity, continuous operation, redundancy and security of all IT Systems and Data; and (iv) the Company and the Subsidiaries have implemented backup and disaster recovery technology consistent with commercially reasonable industry standards and practices.</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6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1" w:lineRule="exact"/>
        <w:rPr>
          <w:rFonts w:ascii="Times New Roman" w:cs="Times New Roman" w:eastAsia="Times New Roman" w:hAnsi="Times New Roman"/>
          <w:sz w:val="18"/>
          <w:szCs w:val="18"/>
          <w:color w:val="auto"/>
        </w:rPr>
      </w:pPr>
    </w:p>
    <w:p>
      <w:pPr>
        <w:jc w:val="both"/>
        <w:ind w:firstLine="1304"/>
        <w:spacing w:after="0" w:line="256" w:lineRule="auto"/>
        <w:tabs>
          <w:tab w:leader="none" w:pos="16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rFonts w:ascii="Times New Roman" w:cs="Times New Roman" w:eastAsia="Times New Roman" w:hAnsi="Times New Roman"/>
          <w:sz w:val="18"/>
          <w:szCs w:val="18"/>
          <w:color w:val="auto"/>
        </w:rPr>
      </w:pPr>
    </w:p>
    <w:p>
      <w:pPr>
        <w:jc w:val="both"/>
        <w:ind w:firstLine="1304"/>
        <w:spacing w:after="0" w:line="258" w:lineRule="auto"/>
        <w:tabs>
          <w:tab w:leader="none" w:pos="1641"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9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Technology</w:t>
      </w:r>
      <w:r>
        <w:rPr>
          <w:rFonts w:ascii="Times New Roman" w:cs="Times New Roman" w:eastAsia="Times New Roman" w:hAnsi="Times New Roman"/>
          <w:sz w:val="18"/>
          <w:szCs w:val="18"/>
          <w:color w:val="auto"/>
        </w:rPr>
        <w:t>. The Company’s and the Subsidiaries’ information technology assets and equipment, computers, systems, networks, hardware, software, websites, applications, and databases (collectively, “</w:t>
      </w:r>
      <w:r>
        <w:rPr>
          <w:rFonts w:ascii="Times New Roman" w:cs="Times New Roman" w:eastAsia="Times New Roman" w:hAnsi="Times New Roman"/>
          <w:sz w:val="18"/>
          <w:szCs w:val="18"/>
          <w:u w:val="single" w:color="auto"/>
          <w:color w:val="auto"/>
        </w:rPr>
        <w:t>IT Systems</w:t>
      </w:r>
      <w:r>
        <w:rPr>
          <w:rFonts w:ascii="Times New Roman" w:cs="Times New Roman" w:eastAsia="Times New Roman" w:hAnsi="Times New Roman"/>
          <w:sz w:val="18"/>
          <w:szCs w:val="18"/>
          <w:color w:val="auto"/>
        </w:rPr>
        <w:t>”) operate and perform in all material respects as required in connection with the operation of the business of the Company and the Subsidiaries as currently conducted. The Company and the Subsidiaries maintain commercially reasonable controls, policies, procedures, and safeguards to maintain and protect their material confidential information and the integrity, continuous operation, redundancy and security of all IT Systems and all personal, personally identifiable, sensitive, confidential or regulated data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processed and stored thereon, and to the knowledge of the Company, there have been no breaches, incidents, violations, outages, compromises or unauthorized uses of or accesses to same, except for those that have been remedied without material cost or liability or the duty to notify any other person, nor any incidents under internal review or investigations relating to the same. The Company and the Subsidiaries are presently in compliance in all material respects with all applicable laws or statutes and all applicable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for any such noncompliance that would not have a Material Adverse Effect.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ind w:left="1600" w:hanging="296"/>
        <w:spacing w:after="0"/>
        <w:tabs>
          <w:tab w:leader="none" w:pos="16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5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Issuer Disqualification Events</w:t>
      </w:r>
      <w:r>
        <w:rPr>
          <w:rFonts w:ascii="Times New Roman" w:cs="Times New Roman" w:eastAsia="Times New Roman" w:hAnsi="Times New Roman"/>
          <w:sz w:val="18"/>
          <w:szCs w:val="18"/>
          <w:color w:val="auto"/>
        </w:rPr>
        <w:t>. The Company will notify the Purchasers in writing, prior to the Closing Date of (i) any Issuer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firstLine="1304"/>
        <w:spacing w:after="0" w:line="253" w:lineRule="auto"/>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79" w:lineRule="exact"/>
        <w:rPr>
          <w:rFonts w:ascii="Times New Roman" w:cs="Times New Roman" w:eastAsia="Times New Roman" w:hAnsi="Times New Roman"/>
          <w:sz w:val="18"/>
          <w:szCs w:val="18"/>
          <w:color w:val="auto"/>
        </w:rPr>
      </w:pPr>
    </w:p>
    <w:p>
      <w:pPr>
        <w:ind w:left="1540" w:hanging="236"/>
        <w:spacing w:after="0"/>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6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Purchaser Disqualification Events</w:t>
      </w:r>
      <w:r>
        <w:rPr>
          <w:rFonts w:ascii="Times New Roman" w:cs="Times New Roman" w:eastAsia="Times New Roman" w:hAnsi="Times New Roman"/>
          <w:sz w:val="18"/>
          <w:szCs w:val="18"/>
          <w:color w:val="auto"/>
        </w:rPr>
        <w:t>. Neither such Purchaser nor any person or entity with whom such Purchaser will share beneficial ownership of the Securities (each, a “</w:t>
      </w:r>
      <w:r>
        <w:rPr>
          <w:rFonts w:ascii="Times New Roman" w:cs="Times New Roman" w:eastAsia="Times New Roman" w:hAnsi="Times New Roman"/>
          <w:sz w:val="18"/>
          <w:szCs w:val="18"/>
          <w:u w:val="single" w:color="auto"/>
          <w:color w:val="auto"/>
        </w:rPr>
        <w:t>Purchaser Covered Person</w:t>
      </w:r>
      <w:r>
        <w:rPr>
          <w:rFonts w:ascii="Times New Roman" w:cs="Times New Roman" w:eastAsia="Times New Roman" w:hAnsi="Times New Roman"/>
          <w:sz w:val="18"/>
          <w:szCs w:val="18"/>
          <w:color w:val="auto"/>
        </w:rPr>
        <w:t>”) is subject to any of the “Bad Actor” disqualifications described in Rule 506(d)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(1)(i) to (viii) under the Securities Act (a “</w:t>
      </w:r>
      <w:r>
        <w:rPr>
          <w:rFonts w:ascii="Times New Roman" w:cs="Times New Roman" w:eastAsia="Times New Roman" w:hAnsi="Times New Roman"/>
          <w:sz w:val="18"/>
          <w:szCs w:val="18"/>
          <w:u w:val="single" w:color="auto"/>
          <w:color w:val="auto"/>
        </w:rPr>
        <w:t>Purchaser Disqualification Event</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2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Purchaser Disqualification Events</w:t>
      </w:r>
      <w:r>
        <w:rPr>
          <w:rFonts w:ascii="Times New Roman" w:cs="Times New Roman" w:eastAsia="Times New Roman" w:hAnsi="Times New Roman"/>
          <w:sz w:val="18"/>
          <w:szCs w:val="18"/>
          <w:color w:val="auto"/>
        </w:rPr>
        <w:t>. Such Purchaser will notify the Company in writing, prior to the Closing Date of (i) any Purchaser Disqualification Event relating to any Purchaser Covered Person and (ii) any event that would, with the passage of time, reasonably be expected to become a Purchaser Disqualification Event relating to any Purchaser Covered Person, in each case of which such Purchaser is aware.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both"/>
        <w:ind w:firstLine="1304"/>
        <w:spacing w:after="0" w:line="253" w:lineRule="auto"/>
        <w:tabs>
          <w:tab w:leader="none" w:pos="15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Placement Agent nor any Affiliate of the Placement Agent has provided such Purchaser with any information or advice with respect to the Securities nor is such information or advice necessary or desired. Neither the Placement Agent nor any Affiliate has made or makes any representation as to the Company or the quality of the Securities and the Placement Agent and any Affiliate may have acquired non-public information with respect to the Company which such Purchaser agrees need not be provided to it. In connection with the issuance of the Securities to such Purchaser, neither the Placement Agent nor any of its Affiliates has acted as a placement agent or fiduciary to such Purchaser.</w:t>
      </w:r>
    </w:p>
    <w:p>
      <w:pPr>
        <w:spacing w:after="0" w:line="191" w:lineRule="exact"/>
        <w:rPr>
          <w:rFonts w:ascii="Times New Roman" w:cs="Times New Roman" w:eastAsia="Times New Roman" w:hAnsi="Times New Roman"/>
          <w:sz w:val="18"/>
          <w:szCs w:val="18"/>
          <w:color w:val="auto"/>
        </w:rPr>
      </w:pPr>
    </w:p>
    <w:p>
      <w:pPr>
        <w:jc w:val="both"/>
        <w:ind w:firstLine="1304"/>
        <w:spacing w:after="0" w:line="253" w:lineRule="auto"/>
        <w:tabs>
          <w:tab w:leader="none" w:pos="15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which terms include definitive pricing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order to effect Short Sales or similar transactions in the future.</w:t>
      </w:r>
    </w:p>
    <w:p>
      <w:pPr>
        <w:spacing w:after="0" w:line="187"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Voting Agreements</w:t>
      </w:r>
      <w:r>
        <w:rPr>
          <w:rFonts w:ascii="Times New Roman" w:cs="Times New Roman" w:eastAsia="Times New Roman" w:hAnsi="Times New Roman"/>
          <w:sz w:val="18"/>
          <w:szCs w:val="18"/>
          <w:color w:val="auto"/>
        </w:rPr>
        <w:t>. The Purchaser is not a party to any agreement or arrangement, whether written or oral, between the Purchaser and any other Purchaser and any of the Company’s shareholders as of the date hereof, regulating the management of the Company, the shareholders’ rights in the Company, the transfer of shares in the Company, including any voting agreements, shareholder agreements or any other similar agreement even if its title is different or has any other relations or agreements with any of the Company’s shareholders, directors or officers.</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155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Except as set forth in the Prospectus or Prospectus Supplement, no agent, broker, investment banker, person or firm acting in a similar capacity on behalf of or under the authority of the Purchaser is or will be entitled to any broker’s or finder’s fee or any other commission or similar fee, directly or indirectly, for which the Company or any of its Affiliates after the Closing could have any liabilities in connection with this Agreement, any of the transactions contemplated by this Agreement, or on account of any action taken by the Purchaser in connection with the transactions contemplated by this Agreement.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511"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Advice</w:t>
      </w:r>
      <w:r>
        <w:rPr>
          <w:rFonts w:ascii="Times New Roman" w:cs="Times New Roman" w:eastAsia="Times New Roman" w:hAnsi="Times New Roman"/>
          <w:sz w:val="18"/>
          <w:szCs w:val="18"/>
          <w:color w:val="auto"/>
        </w:rPr>
        <w:t>. Each Purchaser understands that nothing in this Agreement or any other materials presented by or on behalf of the Company to the Purchaser in connection with the purchase of the Securities constitutes legal, tax or investment advice.</w:t>
      </w:r>
    </w:p>
    <w:p>
      <w:pPr>
        <w:spacing w:after="0" w:line="161" w:lineRule="exact"/>
        <w:rPr>
          <w:rFonts w:ascii="Times New Roman" w:cs="Times New Roman" w:eastAsia="Times New Roman" w:hAnsi="Times New Roman"/>
          <w:sz w:val="18"/>
          <w:szCs w:val="18"/>
          <w:color w:val="auto"/>
        </w:rPr>
      </w:pPr>
    </w:p>
    <w:p>
      <w:pPr>
        <w:ind w:left="1600" w:hanging="296"/>
        <w:spacing w:after="0"/>
        <w:tabs>
          <w:tab w:leader="none" w:pos="16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except as set forth in this Agreement, with respect to locating or borrowing shares in order to effect Short Sales or similar transactions in the future.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Legends.</w:t>
      </w:r>
    </w:p>
    <w:p>
      <w:pPr>
        <w:spacing w:after="0" w:line="225" w:lineRule="exact"/>
        <w:rPr>
          <w:sz w:val="20"/>
          <w:szCs w:val="20"/>
          <w:color w:val="auto"/>
        </w:rPr>
      </w:pPr>
    </w:p>
    <w:p>
      <w:pPr>
        <w:ind w:left="900" w:hanging="244"/>
        <w:spacing w:after="0"/>
        <w:tabs>
          <w:tab w:leader="none" w:pos="900" w:val="left"/>
        </w:tabs>
        <w:numPr>
          <w:ilvl w:val="0"/>
          <w:numId w:val="5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The Shares and Pre-Funded Warrant Shares shall be issued free of legends.</w:t>
      </w:r>
    </w:p>
    <w:p>
      <w:pPr>
        <w:spacing w:after="0" w:line="225" w:lineRule="exact"/>
        <w:rPr>
          <w:rFonts w:ascii="Times New Roman" w:cs="Times New Roman" w:eastAsia="Times New Roman" w:hAnsi="Times New Roman"/>
          <w:sz w:val="18"/>
          <w:szCs w:val="18"/>
          <w:u w:val="single" w:color="auto"/>
          <w:color w:val="auto"/>
        </w:rPr>
      </w:pPr>
    </w:p>
    <w:p>
      <w:pPr>
        <w:jc w:val="both"/>
        <w:ind w:firstLine="656"/>
        <w:spacing w:after="0" w:line="253" w:lineRule="auto"/>
        <w:tabs>
          <w:tab w:leader="none" w:pos="91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portion of a Pre-Funded Warrant is exercised at a time when there is an effective registration statement to cover the issuance or resale of the Pre-Funded Warrant Shares or if the Pre-Funded Warrant is exercised via cashless exercise, the Pre-Funded Warrant Shares issued pursuant to any such exercise shall be issued free of all restrictive legends. If at any time following the date hereof the Registration Statement (or any subsequent registration statement registering the sale or resale of the Warrant Shares) is not effective or is not otherwise available for the initial sale by the Company, or the resale by the Purchasers, of the Pre-Funded Warrant Shares, the Company shall immediately notify the holders of the Pre-Funded Warrants in writing that such registration statement is not then effective and thereafter shall promptly notify such holders when the registration statement is effective again and available for the initial sale by the Company or the resale by the Purchasers of the Pre-Funded Warrant Shares (it being understood and agreed that the foregoing shall not limit the ability of the Company to issue, or any Purchaser to sell, any of the Pre-Funded Warrant Shares in compliance with applicable federal and state securities laws). The Company shall use commercially reasonable efforts to keep a registration statement (including the Registration Statement) registering the issuance or resale of the Pre-Funded Warrant Shares effective during the term of the Pre-Funded Warrants.</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Furnishing of Information; Public Information</w:t>
      </w:r>
      <w:r>
        <w:rPr>
          <w:rFonts w:ascii="Times New Roman" w:cs="Times New Roman" w:eastAsia="Times New Roman" w:hAnsi="Times New Roman"/>
          <w:sz w:val="18"/>
          <w:szCs w:val="18"/>
          <w:color w:val="auto"/>
        </w:rPr>
        <w:t>. Until the earliest of the time that (i) no Purchaser owns Securities, or (ii) the Pre-Funded Warrants have expired, the Company covenants to use commercially reasonable efforts to maintain the registration of the Ordinary Shares under Section 12(b) or 12(g) of the Exchange Act and timely file (or obtain extensions in respect thereof and file within the applicable grace period) all reports required to be filed by the Company after the date hereof pursuant to the Exchange Act.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Report on Form 6-K,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which was entered into solely in connection with the subject matter hereof, shall terminate and be of no further force or effect.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“Acquiring Person”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and use of such information and agreed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controlled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agents, employees or Affiliates, or a duty to the Company, and of its Subsidiaries or any of their respective officers, directors, agents, employees or Affiliates not to trade on the basis of, such material, non-public information, provided that the Purchaser shall remain subject to applicable law. The Company understands and confirms that each Purchaser shall be relying on the foregoing covenant in effecting transactions in securities of the Company.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6-K. The Company understands and confirms that each Purchaser shall be relying on the foregoing covenant in effecting transactions in securities of the Company.</w:t>
      </w:r>
    </w:p>
    <w:p>
      <w:pPr>
        <w:spacing w:after="0" w:line="19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Company shall use the net proceeds from the sale of the Securities hereunder for working capital and general corporate purposes and shall not use such proceeds: (a) for the satisfaction of any portion of the Company’s debt (other than payment of trade payables in the ordinary course of the Company’s business), (b) for the redemption of any Ordinary Shares or Ordinary Share Equivalents, (c) for the settlement of any outstanding litigation or (d) in violation of FCPA or OFAC regulations or similar applicable regulations.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and documented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a Purchaser Party in any capacity (including a Purchaser Party’s status as an investor), or any of them or their respective Affiliates, by any shareholder of the Company who is not an Affiliate of such Purchaser Party, arising out of or relating to any of the transactions contemplated by the Transaction Documents (unless such action is based upon a material breach of such Purchaser Party’s representations, warranties or covenants under the Transaction Documents or any agreements or understandings such Purchaser Party may have with any such shareholder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reasonable and documented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and documented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that a loss, claim, damage or liability is attributable to any Purchaser Party’s breach of any of the representations, warranties, covenants or agreements made by such Purchaser Party in this Agreement or in the other Transaction Documents. The indemnification and other payment obligations required by this Section 4.8 shall be made by periodic payments of the amount thereof during the course of the investigation, defense, collection, enforcement or action,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Reservation of Ordinary Shares</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Ordinary Shares for the purpose of enabling the Company to issue Shares pursuant to this Agreement and Pre-Funded Warrant Shares pursuant to any exercise of the Pre-Funded Warrants.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Listing of Ordinary Shares</w:t>
      </w:r>
      <w:r>
        <w:rPr>
          <w:rFonts w:ascii="Times New Roman" w:cs="Times New Roman" w:eastAsia="Times New Roman" w:hAnsi="Times New Roman"/>
          <w:sz w:val="18"/>
          <w:szCs w:val="18"/>
          <w:color w:val="auto"/>
        </w:rPr>
        <w:t>. The Company hereby agrees to use commercially reasonable best efforts to maintain the listing or quotation of the Ordinary Shares on each Trading Market on which each is currently listed, and concurrently with the Closing, the Company shall apply to list or quote all of the Shares and Pre-Funded Warrant Shares on such Trading Markets and promptly secure the listing of all of the Shares and Pre-Funded Warrant Shares on such Trading Markets. The Company further agrees, if the Company applies to have the Ordinary Shares traded on any other Trading Market, it will then include in such application all of the Shares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the Ordinary Shares on a Trading Market and will comply in all material respects with the Company’s reporting, filing and other obligations under the bylaws or rules of the Trading Market. The Company agrees to use commercially reasonable efforts to maintain the eligibility of the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Subsequent Equity Sales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1" w:lineRule="auto"/>
        <w:tabs>
          <w:tab w:leader="none" w:pos="1551"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thirty (30) days after the Closing Date, neither the Company nor any Subsidiary shall (i) issue, enter into any agreement to issue or announce the issuance or proposed issuance of Ordinary Shares or Ordinary Share Equivalents or (ii) file any registration statement or amendment or supplement thereto, other than the Prospectus Supplement, a registration statement on Form S-8 in connection with any employee benefit plan and the Resale Registration Statement (as defined below).</w:t>
      </w:r>
    </w:p>
    <w:p>
      <w:pPr>
        <w:spacing w:after="0" w:line="179" w:lineRule="exact"/>
        <w:rPr>
          <w:rFonts w:ascii="Times New Roman" w:cs="Times New Roman" w:eastAsia="Times New Roman" w:hAnsi="Times New Roman"/>
          <w:sz w:val="18"/>
          <w:szCs w:val="18"/>
          <w:color w:val="auto"/>
        </w:rPr>
      </w:pPr>
    </w:p>
    <w:p>
      <w:pPr>
        <w:jc w:val="both"/>
        <w:ind w:firstLine="1304"/>
        <w:spacing w:after="0" w:line="269" w:lineRule="auto"/>
        <w:tabs>
          <w:tab w:leader="none" w:pos="1557"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the date hereof until thirty (30) days after the Closing Date, the Company shall be prohibited from effecting or entering into an agreement to effect any issuance by the Company or any of its Subsidiaries of Ordinary Shares or Ordinary Share Equivalents (or a combination of units thereof) involving a Variable Rate Transaction. “</w:t>
      </w:r>
      <w:r>
        <w:rPr>
          <w:rFonts w:ascii="Times New Roman" w:cs="Times New Roman" w:eastAsia="Times New Roman" w:hAnsi="Times New Roman"/>
          <w:sz w:val="17"/>
          <w:szCs w:val="17"/>
          <w:u w:val="single" w:color="auto"/>
          <w:color w:val="auto"/>
        </w:rPr>
        <w:t>Variable Rate Transaction</w:t>
      </w:r>
      <w:r>
        <w:rPr>
          <w:rFonts w:ascii="Times New Roman" w:cs="Times New Roman" w:eastAsia="Times New Roman" w:hAnsi="Times New Roman"/>
          <w:sz w:val="17"/>
          <w:szCs w:val="17"/>
          <w:color w:val="auto"/>
        </w:rPr>
        <w:t>” means a transaction in which the Company (i) issues or sells any debt or equity securities that are convertible into, exchangeable or exercisable for, or include the right to receive additional Ordinary Shares either (A) at a conversion price, exercise price or exchange rate or other price that is based upon and/or varies with the trading prices of or quotations for the Ordinary Shares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Ordinary Shares or (ii) enters into, or effects a transaction under, any agreement, including, but not limited to, an equity line of credit, or an at-the-market offerings whereby the Company may issue securities at a future determined price; provided, however, that after sixty (60) days the Company shall be permitted to enter into and effect sales pursuant to an at-the-market offering facility. Any Purchaser shall be entitled to obtain injunctive relief against the Company to preclude any such issuance, which remedy shall be in addition to any right to collect damages.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ind w:firstLine="1304"/>
        <w:spacing w:after="0" w:line="282" w:lineRule="auto"/>
        <w:tabs>
          <w:tab w:leader="none" w:pos="156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Section 4.11 shall not apply in respect of an Exempt Issuance, except that no Variable Rate Transaction shall be an Exempt Issuance.</w:t>
      </w:r>
    </w:p>
    <w:p>
      <w:pPr>
        <w:spacing w:after="0" w:line="162" w:lineRule="exact"/>
        <w:rPr>
          <w:sz w:val="20"/>
          <w:szCs w:val="20"/>
          <w:color w:val="auto"/>
        </w:rPr>
      </w:pPr>
    </w:p>
    <w:p>
      <w:pPr>
        <w:jc w:val="both"/>
        <w:ind w:firstLine="693"/>
        <w:spacing w:after="0" w:line="258"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Equal Treatment of Purchasers</w:t>
      </w:r>
      <w:r>
        <w:rPr>
          <w:rFonts w:ascii="Times New Roman" w:cs="Times New Roman" w:eastAsia="Times New Roman" w:hAnsi="Times New Roman"/>
          <w:sz w:val="18"/>
          <w:szCs w:val="18"/>
          <w:color w:val="auto"/>
        </w:rPr>
        <w:t>. No consideration (including any modification of the Transaction Documents)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the Ordinary Shares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9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Exercise Procedures</w:t>
      </w:r>
      <w:r>
        <w:rPr>
          <w:rFonts w:ascii="Times New Roman" w:cs="Times New Roman" w:eastAsia="Times New Roman" w:hAnsi="Times New Roman"/>
          <w:sz w:val="18"/>
          <w:szCs w:val="18"/>
          <w:color w:val="auto"/>
        </w:rPr>
        <w:t>. The forms of Notice of Exercise included in the Pre-Funded Warrants set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Lock-Up Agreements</w:t>
      </w:r>
      <w:r>
        <w:rPr>
          <w:rFonts w:ascii="Times New Roman" w:cs="Times New Roman" w:eastAsia="Times New Roman" w:hAnsi="Times New Roman"/>
          <w:sz w:val="18"/>
          <w:szCs w:val="18"/>
          <w:color w:val="auto"/>
        </w:rPr>
        <w:t>. The Company shall not amend, modify, waive or terminate any provision of any of the Lock-Up Agreements without the prior written consent of the Placement Agent, except to extend the term of the lock-up period, and shall enforce the provisions of each Lock-Up Agreement in accordance with its terms. If any party to a Lock-Up Agreement breaches any provision of a Lock-Up Agreement, the Company shall promptly use its reasonable commercial efforts to seek specific performance of the terms of such Lock-Up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4.16 </w:t>
      </w:r>
      <w:r>
        <w:rPr>
          <w:rFonts w:ascii="Times New Roman" w:cs="Times New Roman" w:eastAsia="Times New Roman" w:hAnsi="Times New Roman"/>
          <w:sz w:val="18"/>
          <w:szCs w:val="18"/>
          <w:u w:val="single" w:color="auto"/>
          <w:color w:val="auto"/>
        </w:rPr>
        <w:t>Reverse Split</w:t>
      </w:r>
      <w:r>
        <w:rPr>
          <w:rFonts w:ascii="Times New Roman" w:cs="Times New Roman" w:eastAsia="Times New Roman" w:hAnsi="Times New Roman"/>
          <w:sz w:val="18"/>
          <w:szCs w:val="18"/>
          <w:color w:val="auto"/>
        </w:rPr>
        <w:t>. The earliest date on which the Company may announce a reverse stock split shall be May 19, 2026 if a Deficiency Event has occurred. For purpose of this Agreement, a “Deficiency Event” shall be deemed to have occurred if the closing sale price of the Ordinary Shares is less than $0.10 for three (3) consecutive Trading Days.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(5th)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 p.m. (New York City time) on any Trading Day, (c) the second (2nd)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Report on Form 6-K or by issuing a press release containing such material non-public information.</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the Purchasers who purchased at least 50.1% of the then sum of (i) the Shares and (ii) the Pre-Funded Warrant Shares initially issuable upon exercise of the Pre-Funded Warrants based on the initial Subscription Amounts hereunder, or, in the case of a waiver, by the party against whom enforcement of any such waived provision is sought; provided,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5.8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The Placement Agent shall be the third-party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this Section 5.8 and the Placement Agency Agreement, as applicable.</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5.9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suit, action or proceeding, any claim that it is not personally subject to the jurisdiction of any such court, that such suit, action or proceeding is improper or is an inconvenient venue for such proceeding. Each party hereby irrevocably waives personal service of process and consents to process being served in any such suit,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either party shall commence an action, suit or proceeding to enforce any provisions of the Transaction Documents, then, in addition to the obligations of the Company under Section 4.8, the prevailing party in such action, suit or proceeding shall be reimbursed by the other party for its reasonable and documented attorneys’ fees and other costs and expenses incurred with the investigation, preparation and prosecution of such action or proceeding.</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5.10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representations and warranties contained herein shall survive the Closing and the delivery of the Securities for a period of two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years from Closing.</w:t>
      </w:r>
    </w:p>
    <w:p>
      <w:pPr>
        <w:spacing w:after="0" w:line="20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5.11 </w:t>
      </w:r>
      <w:r>
        <w:rPr>
          <w:rFonts w:ascii="Times New Roman" w:cs="Times New Roman" w:eastAsia="Times New Roman" w:hAnsi="Times New Roman"/>
          <w:sz w:val="18"/>
          <w:szCs w:val="18"/>
          <w:u w:val="single" w:color="auto"/>
          <w:color w:val="auto"/>
        </w:rPr>
        <w:t>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was an original thereof.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5.13 </w:t>
      </w:r>
      <w:r>
        <w:rPr>
          <w:rFonts w:ascii="Times New Roman" w:cs="Times New Roman" w:eastAsia="Times New Roman" w:hAnsi="Times New Roman"/>
          <w:sz w:val="18"/>
          <w:szCs w:val="18"/>
          <w:u w:val="single" w:color="auto"/>
          <w:color w:val="auto"/>
        </w:rPr>
        <w:t>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an exercise of a Warrant, the applicable Purchaser shall be required to return any Ordinary Shares subject to any such rescinded exercise notice concurrently with the return to such Purchaser of the aggregate exercise price paid to the Company for such shares and the restoration of such Purchaser’s right to acquire such shares pursuant to such Purchaser’s Warrant (including, issuance of a replacement warrant certificate evidencing such restored right).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5.14 </w:t>
      </w:r>
      <w:r>
        <w:rPr>
          <w:rFonts w:ascii="Times New Roman" w:cs="Times New Roman" w:eastAsia="Times New Roman" w:hAnsi="Times New Roman"/>
          <w:sz w:val="18"/>
          <w:szCs w:val="18"/>
          <w:u w:val="single" w:color="auto"/>
          <w:color w:val="auto"/>
        </w:rPr>
        <w:t>Replacement of Securities</w:t>
      </w:r>
      <w:r>
        <w:rPr>
          <w:rFonts w:ascii="Times New Roman" w:cs="Times New Roman" w:eastAsia="Times New Roman" w:hAnsi="Times New Roman"/>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5.15 </w:t>
      </w:r>
      <w:r>
        <w:rPr>
          <w:rFonts w:ascii="Times New Roman" w:cs="Times New Roman" w:eastAsia="Times New Roman" w:hAnsi="Times New Roman"/>
          <w:sz w:val="18"/>
          <w:szCs w:val="18"/>
          <w:u w:val="single" w:color="auto"/>
          <w:color w:val="auto"/>
        </w:rPr>
        <w:t>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 Each party agrees that it shall not have a remedy of punitive or consequential damages against the other and hereby waives any right or claim to punitive or consequential damages it may now have or that may arise in the future.</w:t>
      </w:r>
    </w:p>
    <w:p>
      <w:pPr>
        <w:spacing w:after="0" w:line="187" w:lineRule="exact"/>
        <w:rPr>
          <w:sz w:val="20"/>
          <w:szCs w:val="20"/>
          <w:color w:val="auto"/>
        </w:rPr>
      </w:pPr>
    </w:p>
    <w:p>
      <w:pPr>
        <w:jc w:val="both"/>
        <w:ind w:firstLine="700"/>
        <w:spacing w:after="0" w:line="253" w:lineRule="auto"/>
        <w:rPr>
          <w:sz w:val="20"/>
          <w:szCs w:val="20"/>
          <w:color w:val="auto"/>
        </w:rPr>
      </w:pPr>
      <w:r>
        <w:rPr>
          <w:rFonts w:ascii="Times New Roman" w:cs="Times New Roman" w:eastAsia="Times New Roman" w:hAnsi="Times New Roman"/>
          <w:sz w:val="18"/>
          <w:szCs w:val="18"/>
          <w:color w:val="auto"/>
        </w:rPr>
        <w:t xml:space="preserve">5.16 </w:t>
      </w:r>
      <w:r>
        <w:rPr>
          <w:rFonts w:ascii="Times New Roman" w:cs="Times New Roman" w:eastAsia="Times New Roman" w:hAnsi="Times New Roman"/>
          <w:sz w:val="18"/>
          <w:szCs w:val="18"/>
          <w:u w:val="single" w:color="auto"/>
          <w:color w:val="auto"/>
        </w:rPr>
        <w:t>Payment Set Aside; Currency</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 Unless otherwise expressly indicated, all dollar amounts referred to in this Agreement and the other Transaction Documents are in United States Dollars (“</w:t>
      </w:r>
      <w:r>
        <w:rPr>
          <w:rFonts w:ascii="Times New Roman" w:cs="Times New Roman" w:eastAsia="Times New Roman" w:hAnsi="Times New Roman"/>
          <w:sz w:val="18"/>
          <w:szCs w:val="18"/>
          <w:u w:val="single" w:color="auto"/>
          <w:color w:val="auto"/>
        </w:rPr>
        <w:t>U.S. Dollars</w:t>
      </w:r>
      <w:r>
        <w:rPr>
          <w:rFonts w:ascii="Times New Roman" w:cs="Times New Roman" w:eastAsia="Times New Roman" w:hAnsi="Times New Roman"/>
          <w:sz w:val="18"/>
          <w:szCs w:val="18"/>
          <w:color w:val="auto"/>
        </w:rPr>
        <w:t>”), and all amounts owing under this Agreement and all other Transaction Documents shall be paid in U.S. Dollars. All amounts denominated in other currencies (if any) shall be converted into the U.S. Dollar equivalent amount in accordance with the Exchange Rate on the date of calculation. “</w:t>
      </w:r>
      <w:r>
        <w:rPr>
          <w:rFonts w:ascii="Times New Roman" w:cs="Times New Roman" w:eastAsia="Times New Roman" w:hAnsi="Times New Roman"/>
          <w:sz w:val="18"/>
          <w:szCs w:val="18"/>
          <w:u w:val="single" w:color="auto"/>
          <w:color w:val="auto"/>
        </w:rPr>
        <w:t>Exchange Rate</w:t>
      </w:r>
      <w:r>
        <w:rPr>
          <w:rFonts w:ascii="Times New Roman" w:cs="Times New Roman" w:eastAsia="Times New Roman" w:hAnsi="Times New Roman"/>
          <w:sz w:val="18"/>
          <w:szCs w:val="18"/>
          <w:color w:val="auto"/>
        </w:rPr>
        <w:t>” means, in relation to any amount of currency to be converted into U.S. Dollars pursuant to this Agreement, the U.S. Dollar exchange rate as published in the Wall Street Journal on the relevant date of calculation.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5.17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(a) If for the purpose of obtaining or enforcing judgment against the Company in any court in any jurisdiction it becomes necessary to convert into any other currency (such other currency being hereinafter in this Section 5.17 referred to as the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an amount due in U.S. Dollars under this Agreement or any other Transaction Document, the conversion shall be made at the Exchange Rate prevailing on the Trading Day immediately preceding: (A) the date actual payment of the amount due, in the case of any proceeding in the courts of New York or in the courts of any other jurisdiction that will give effect to such conversion being made on such date or (B) the date on which the foreign court determines, in the case of any proceeding in the courts of any other jurisdiction (the date as of which such conversion is made pursuant to this Section 5.17 being hereinafter referred to as the “</w:t>
      </w:r>
      <w:r>
        <w:rPr>
          <w:rFonts w:ascii="Times New Roman" w:cs="Times New Roman" w:eastAsia="Times New Roman" w:hAnsi="Times New Roman"/>
          <w:sz w:val="18"/>
          <w:szCs w:val="18"/>
          <w:u w:val="single" w:color="auto"/>
          <w:color w:val="auto"/>
        </w:rPr>
        <w:t>Judgment Conversion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56"/>
        <w:spacing w:after="0" w:line="258" w:lineRule="auto"/>
        <w:tabs>
          <w:tab w:leader="none" w:pos="91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the case of any proceeding in the court of any jurisdiction referred to in Section 5.17(a) above, there is a change in the Exchange Rate prevailing between the Judgment Conversion Date and the date of actual payment of the amount due, the applicable party shall pay such adjusted amount as may be necessary to ensure that the amount paid in the Judgment Currency, when converted at the Exchange Rate prevailing on the date of payment, will produce the amount of U.S. Dollars which could have been purchased with the amount of Judgment Currency stipulated in the judgment or judicial order at the Exchange Rate prevailing on the Judgment Conversion Date.</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due from the Company under this provision shall be due as a separate debt and shall not be affected by judgment being obtained for any other amounts due under or in respect of this Agreement or any other Transaction Document.</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5.18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parties hereto irrevocably (i) agrees that any legal suit, action or proceeding arising out of or based upon this Agreement or the transactions contemplated hereby may be instituted in any New York Court, (ii) waives, to the fullest extent it may effectively do so, any objection which it may now or hereafter have to the laying of venue of any such proceeding and (iii) submits to the exclusive jurisdiction of such courts in any such suit, action or proceeding. The Company has appointed Mudra Wearable, Inc., as its authorized agent (the “</w:t>
      </w:r>
      <w:r>
        <w:rPr>
          <w:rFonts w:ascii="Times New Roman" w:cs="Times New Roman" w:eastAsia="Times New Roman" w:hAnsi="Times New Roman"/>
          <w:sz w:val="18"/>
          <w:szCs w:val="18"/>
          <w:u w:val="single" w:color="auto"/>
          <w:color w:val="auto"/>
        </w:rPr>
        <w:t>Authorized Agent</w:t>
      </w:r>
      <w:r>
        <w:rPr>
          <w:rFonts w:ascii="Times New Roman" w:cs="Times New Roman" w:eastAsia="Times New Roman" w:hAnsi="Times New Roman"/>
          <w:sz w:val="18"/>
          <w:szCs w:val="18"/>
          <w:color w:val="auto"/>
        </w:rPr>
        <w:t>”) upon whom process may be served in any such action arising out of or based on this Agreement or the transactions contemplated hereby which may be instituted in any New York Court by any Purchaser or by any person who controls any Purchaser, expressly consents to the jurisdiction of any such court in respect of any such action, and waives any other requirements of or objections to personal jurisdiction with respect thereto. Such appointment shall be irrevocable. The Company represents and warrants that the Authorized Agent has agreed to act as such agent for service of process and agrees to take any and all action, including the filing of any and all documents and instruments, which may be necessary to continue such appointment in full force and effect as aforesaid. Service of process upon the Authorized Agent and written notice of such service to the Company shall be deemed, in every respect, effective service of process upon the Company.</w:t>
      </w:r>
    </w:p>
    <w:p>
      <w:pPr>
        <w:spacing w:after="0" w:line="19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5.19 </w:t>
      </w:r>
      <w:r>
        <w:rPr>
          <w:rFonts w:ascii="Times New Roman" w:cs="Times New Roman" w:eastAsia="Times New Roman" w:hAnsi="Times New Roman"/>
          <w:sz w:val="18"/>
          <w:szCs w:val="18"/>
          <w:u w:val="single" w:color="auto"/>
          <w:color w:val="auto"/>
        </w:rPr>
        <w:t>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Placement Agent Counsel. Placement Agent Counsel does not represent any of the Purchasers and only represents the Placement Agent.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5.20 </w:t>
      </w:r>
      <w:r>
        <w:rPr>
          <w:rFonts w:ascii="Times New Roman" w:cs="Times New Roman" w:eastAsia="Times New Roman" w:hAnsi="Times New Roman"/>
          <w:sz w:val="18"/>
          <w:szCs w:val="18"/>
          <w:u w:val="single" w:color="auto"/>
          <w:color w:val="auto"/>
        </w:rPr>
        <w:t>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5.21 </w:t>
      </w:r>
      <w:r>
        <w:rPr>
          <w:rFonts w:ascii="Times New Roman" w:cs="Times New Roman" w:eastAsia="Times New Roman" w:hAnsi="Times New Roman"/>
          <w:sz w:val="18"/>
          <w:szCs w:val="18"/>
          <w:u w:val="single" w:color="auto"/>
          <w:color w:val="auto"/>
        </w:rPr>
        <w:t>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5.22 </w:t>
      </w: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Ordinary Shares in any Transaction Document shall be subject to adjustment for reverse and forward share splits, share dividends, share combinations and other similar transactions relating to Ordinary Shares that occur after the date of this Agreement.</w:t>
      </w:r>
    </w:p>
    <w:p>
      <w:pPr>
        <w:spacing w:after="0" w:line="17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 xml:space="preserve">5.23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ANY ACTION, SUIT, OR PROCEEDING IN ANY JURISDICTION BROUGHT BY ANY PARTY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tc>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Address for Notice:</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Room 801, Tower C, Floor 8, Building 103, Huizhongli, Chaoyang District</w:t>
            </w:r>
          </w:p>
        </w:tc>
        <w:tc>
          <w:tcPr>
            <w:tcW w:w="0" w:type="dxa"/>
            <w:vAlign w:val="bottom"/>
          </w:tcPr>
          <w:p>
            <w:pPr>
              <w:spacing w:after="0"/>
              <w:rPr>
                <w:sz w:val="1"/>
                <w:szCs w:val="1"/>
                <w:color w:val="auto"/>
              </w:rPr>
            </w:pPr>
          </w:p>
        </w:tc>
      </w:tr>
      <w:tr>
        <w:trPr>
          <w:trHeight w:val="223"/>
        </w:trPr>
        <w:tc>
          <w:tcPr>
            <w:tcW w:w="2980" w:type="dxa"/>
            <w:vAlign w:val="bottom"/>
            <w:gridSpan w:val="2"/>
            <w:vMerge w:val="continue"/>
          </w:tcPr>
          <w:p>
            <w:pPr>
              <w:spacing w:after="0"/>
              <w:rPr>
                <w:sz w:val="19"/>
                <w:szCs w:val="19"/>
                <w:color w:val="auto"/>
              </w:rPr>
            </w:pPr>
          </w:p>
        </w:tc>
        <w:tc>
          <w:tcPr>
            <w:tcW w:w="1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240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Zhen Fan</w:t>
            </w:r>
          </w:p>
        </w:tc>
        <w:tc>
          <w:tcPr>
            <w:tcW w:w="1540" w:type="dxa"/>
            <w:vAlign w:val="bottom"/>
            <w:tcBorders>
              <w:top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58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Attention: Zhen Fan, Chief Executive Officer</w:t>
            </w:r>
          </w:p>
        </w:tc>
        <w:tc>
          <w:tcPr>
            <w:tcW w:w="0" w:type="dxa"/>
            <w:vAlign w:val="bottom"/>
          </w:tcPr>
          <w:p>
            <w:pPr>
              <w:spacing w:after="0"/>
              <w:rPr>
                <w:sz w:val="1"/>
                <w:szCs w:val="1"/>
                <w:color w:val="auto"/>
              </w:rPr>
            </w:pPr>
          </w:p>
        </w:tc>
      </w:tr>
      <w:tr>
        <w:trPr>
          <w:trHeight w:val="234"/>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  Chief Executive Officer</w:t>
            </w:r>
          </w:p>
        </w:tc>
        <w:tc>
          <w:tcPr>
            <w:tcW w:w="1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8260" w:type="dxa"/>
            <w:vAlign w:val="bottom"/>
            <w:gridSpan w:val="4"/>
          </w:tcPr>
          <w:p>
            <w:pPr>
              <w:jc w:val="center"/>
              <w:ind w:right="2980"/>
              <w:spacing w:after="0"/>
              <w:rPr>
                <w:sz w:val="20"/>
                <w:szCs w:val="20"/>
                <w:color w:val="auto"/>
              </w:rPr>
            </w:pPr>
            <w:r>
              <w:rPr>
                <w:rFonts w:ascii="Times New Roman" w:cs="Times New Roman" w:eastAsia="Times New Roman" w:hAnsi="Times New Roman"/>
                <w:sz w:val="18"/>
                <w:szCs w:val="18"/>
                <w:color w:val="auto"/>
                <w:w w:val="99"/>
              </w:rPr>
              <w:t>[REMAINDER OF PAGE INTENTIONALLY LEFT BLANK</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8260" w:type="dxa"/>
            <w:vAlign w:val="bottom"/>
            <w:gridSpan w:val="4"/>
          </w:tcPr>
          <w:p>
            <w:pPr>
              <w:jc w:val="center"/>
              <w:ind w:right="2980"/>
              <w:spacing w:after="0"/>
              <w:rPr>
                <w:sz w:val="20"/>
                <w:szCs w:val="20"/>
                <w:color w:val="auto"/>
              </w:rPr>
            </w:pPr>
            <w:r>
              <w:rPr>
                <w:rFonts w:ascii="Times New Roman" w:cs="Times New Roman" w:eastAsia="Times New Roman" w:hAnsi="Times New Roman"/>
                <w:sz w:val="18"/>
                <w:szCs w:val="18"/>
                <w:color w:val="auto"/>
                <w:w w:val="99"/>
              </w:rPr>
              <w:t>SIGNATURE PAGE FOR PURCHASER FOLLOWS]</w:t>
            </w:r>
          </w:p>
        </w:tc>
        <w:tc>
          <w:tcPr>
            <w:tcW w:w="0" w:type="dxa"/>
            <w:vAlign w:val="bottom"/>
          </w:tcPr>
          <w:p>
            <w:pPr>
              <w:spacing w:after="0"/>
              <w:rPr>
                <w:sz w:val="1"/>
                <w:szCs w:val="1"/>
                <w:color w:val="auto"/>
              </w:rPr>
            </w:pPr>
          </w:p>
        </w:tc>
      </w:tr>
      <w:tr>
        <w:trPr>
          <w:trHeight w:val="682"/>
        </w:trPr>
        <w:tc>
          <w:tcPr>
            <w:tcW w:w="5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2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color w:val="auto"/>
        </w:rPr>
        <w:t>[PURCHASER SIGNATURE PAGES TO HAO SECURITIES PURCHASE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Number of Authorized Signatory: 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 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Delivery of Pre-Funded Warrants and Pre-Funded Warrant Shares to the Purchaser (if not same as address for notice):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DWAC for Ordinary Shares: 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 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underlying the Pre-Funded Warrants: ____________</w:t>
      </w: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Beneficial Ownership Blocker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4.99%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9.99%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_____________________________________________</w:t>
      </w:r>
    </w:p>
    <w:p>
      <w:pPr>
        <w:spacing w:after="0" w:line="225" w:lineRule="exact"/>
        <w:rPr>
          <w:sz w:val="20"/>
          <w:szCs w:val="20"/>
          <w:color w:val="auto"/>
        </w:rPr>
      </w:pPr>
    </w:p>
    <w:p>
      <w:pPr>
        <w:jc w:val="both"/>
        <w:ind w:firstLine="8"/>
        <w:spacing w:after="0" w:line="255" w:lineRule="auto"/>
        <w:tabs>
          <w:tab w:leader="none" w:pos="228" w:val="left"/>
        </w:tabs>
        <w:numPr>
          <w:ilvl w:val="0"/>
          <w:numId w:val="5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 the above-signed, shall be unconditional and all conditions to Closing shall be disregarded, (ii) the Closing shall occur on the second (2nd)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of Pre-Funded Warrant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Lock-Up Agreement</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857250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54" w:name="page55"/>
    <w:bookmarkEnd w:id="54"/>
    <w:p>
      <w:pPr>
        <w:ind w:left="1032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PLACEMENT AGENCY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Haoxi Health Technology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Room 801, Tower C, Floor 8, Building 103, Huizhongli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Chaoyang District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Mr. Zhen Fan, CEO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Mr. Fan:</w:t>
      </w:r>
    </w:p>
    <w:p>
      <w:pPr>
        <w:spacing w:after="0" w:line="2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letter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constitutes the agreement by and between Univest Securities, LLC (“</w:t>
      </w:r>
      <w:r>
        <w:rPr>
          <w:rFonts w:ascii="Times New Roman" w:cs="Times New Roman" w:eastAsia="Times New Roman" w:hAnsi="Times New Roman"/>
          <w:sz w:val="18"/>
          <w:szCs w:val="18"/>
          <w:b w:val="1"/>
          <w:bCs w:val="1"/>
          <w:color w:val="auto"/>
        </w:rPr>
        <w:t>Univest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Placement Agent</w:t>
      </w:r>
      <w:r>
        <w:rPr>
          <w:rFonts w:ascii="Times New Roman" w:cs="Times New Roman" w:eastAsia="Times New Roman" w:hAnsi="Times New Roman"/>
          <w:sz w:val="18"/>
          <w:szCs w:val="18"/>
          <w:color w:val="auto"/>
        </w:rPr>
        <w:t>”) and Haoxi Health Technology Limited, a Cayman Islands company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pursuant to which the Placement Agent shall serve as the placement agent for the Company, on a “reasonable best efforts” basis, in connection with the proposed placements (the “</w:t>
      </w:r>
      <w:r>
        <w:rPr>
          <w:rFonts w:ascii="Times New Roman" w:cs="Times New Roman" w:eastAsia="Times New Roman" w:hAnsi="Times New Roman"/>
          <w:sz w:val="18"/>
          <w:szCs w:val="18"/>
          <w:b w:val="1"/>
          <w:bCs w:val="1"/>
          <w:color w:val="auto"/>
        </w:rPr>
        <w:t>Placements</w:t>
      </w:r>
      <w:r>
        <w:rPr>
          <w:rFonts w:ascii="Times New Roman" w:cs="Times New Roman" w:eastAsia="Times New Roman" w:hAnsi="Times New Roman"/>
          <w:sz w:val="18"/>
          <w:szCs w:val="18"/>
          <w:color w:val="auto"/>
        </w:rPr>
        <w:t>”) via a registered direct offering of Class A ordinary shares of the Company, par value $0.0025 per share, of the Company (“</w:t>
      </w:r>
      <w:r>
        <w:rPr>
          <w:rFonts w:ascii="Times New Roman" w:cs="Times New Roman" w:eastAsia="Times New Roman" w:hAnsi="Times New Roman"/>
          <w:sz w:val="18"/>
          <w:szCs w:val="18"/>
          <w:b w:val="1"/>
          <w:bCs w:val="1"/>
          <w:color w:val="auto"/>
        </w:rPr>
        <w:t>Ordinary Share</w:t>
      </w:r>
      <w:r>
        <w:rPr>
          <w:rFonts w:ascii="Times New Roman" w:cs="Times New Roman" w:eastAsia="Times New Roman" w:hAnsi="Times New Roman"/>
          <w:sz w:val="18"/>
          <w:szCs w:val="18"/>
          <w:color w:val="auto"/>
        </w:rPr>
        <w:t>”), and/or the Pre-Funded Warrants to purchase Ordinary Shares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terms of the Placements and the Securities shall be mutually agreed upon by the Company and the purchasers (each, a “</w:t>
      </w:r>
      <w:r>
        <w:rPr>
          <w:rFonts w:ascii="Times New Roman" w:cs="Times New Roman" w:eastAsia="Times New Roman" w:hAnsi="Times New Roman"/>
          <w:sz w:val="18"/>
          <w:szCs w:val="18"/>
          <w:b w:val="1"/>
          <w:bCs w:val="1"/>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Purchasers</w:t>
      </w:r>
      <w:r>
        <w:rPr>
          <w:rFonts w:ascii="Times New Roman" w:cs="Times New Roman" w:eastAsia="Times New Roman" w:hAnsi="Times New Roman"/>
          <w:sz w:val="18"/>
          <w:szCs w:val="18"/>
          <w:color w:val="auto"/>
        </w:rPr>
        <w:t>”) and nothing herein shall be deemed to mean that the Placement Agent would have the power or authority to bind the Company or any Purchaser or an obligation for the Company to issue any Securities or complete the Placements. This Agreement and the documents executed and delivered by the Company and the Purchasers in connection with the Placements, including but not limited to the Purchase Agreement (as defined below), shall be collectively referred to herein as the “</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The date of the closing of the Placements shall be referred to herein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The Company expressly acknowledges and agrees that the obligations of the Placement Agent hereunder are on a reasonable best efforts basis only and that the execution of this Agreement does not constitute a commitment by the Placement Agent to purchase the Securities and does not ensure the successful placement of the Securities or any portion thereof or the success of the Placement Agent with respect to securing any other financing on behalf of the Company. Following the prior written consent of the Company, the Placement Agent may retain other brokers or dealers to act as sub-agents or selected-dealers on its behalf in connection with the Placements. The sale of the Securities to any Purchaser will be evidenced by a securities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between the Company and such Purchaser in a form mutually agreed upon by the Company and the Placement Agent. Capitalized terms that are not otherwise defined herein have the meanings given to such terms in the Purchase Agreement. Prior to the signing of any Purchase Agreement, executive officers of the Company will be available upon reasonable notice and during normal business hours to answer inquiries from prospective Purchasers.</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 OF THE COMPANY; COVENANTS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Representations of the Company</w:t>
      </w:r>
      <w:r>
        <w:rPr>
          <w:rFonts w:ascii="Times New Roman" w:cs="Times New Roman" w:eastAsia="Times New Roman" w:hAnsi="Times New Roman"/>
          <w:sz w:val="18"/>
          <w:szCs w:val="18"/>
          <w:color w:val="auto"/>
        </w:rPr>
        <w:t>. Each of the representations and warranties (together with any related disclosure schedules thereto) and covenants made by the Company to the Purchasers in the Purchase Agreement in connection with the Placements is hereby incorporated herein by reference into this Agreement (as though fully restated herein) and is, as of the date of this Agreement and as of the Closing Date, hereby made to, and in favor of, the Placement Agent. In addition to the foregoing, the Company represents and warrants that:</w:t>
      </w:r>
    </w:p>
    <w:p>
      <w:pPr>
        <w:spacing w:after="0" w:line="176" w:lineRule="exact"/>
        <w:rPr>
          <w:sz w:val="20"/>
          <w:szCs w:val="20"/>
          <w:color w:val="auto"/>
        </w:rPr>
      </w:pPr>
    </w:p>
    <w:p>
      <w:pPr>
        <w:jc w:val="both"/>
        <w:ind w:firstLine="1952"/>
        <w:spacing w:after="0" w:line="252" w:lineRule="auto"/>
        <w:tabs>
          <w:tab w:leader="none" w:pos="213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prepared and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on Form F-3, as amended, (File No. 333-287686) for the registration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Securities, which registration statement became effective on June 13, 2025. At the time of such filing, the Company met the requirements of Form F-3 under the Securities Act. Such registration statement meets the requirements set forth in Rule 415(a)(1)(x) under the Securities Act and complies with said Rule. The Company will file with the Commission pursuant to Rule 424(b) under the Securities Act, and the rules and regulations (the “</w:t>
      </w:r>
      <w:r>
        <w:rPr>
          <w:rFonts w:ascii="Times New Roman" w:cs="Times New Roman" w:eastAsia="Times New Roman" w:hAnsi="Times New Roman"/>
          <w:sz w:val="18"/>
          <w:szCs w:val="18"/>
          <w:b w:val="1"/>
          <w:bCs w:val="1"/>
          <w:color w:val="auto"/>
        </w:rPr>
        <w:t>Rules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of the Commission promulgated thereunder, a supplement to the form of prospectus included in such registration statement relating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placement of the Public Securities and the plan of distribution thereof and has advised the Placement Agent of all further information (financial and other) with respect to the Company required to be set forth therein. Such registration statement, including the exhibits thereto, as amended at the date of this Agreement, is hereinafter called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such prospectus in the form in which it appears in the Registration Statement is hereinafter called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and the supplemented form of prospectus, in the form in which it will be filed with the Commission pursuant to Rule 424(b) (including the Base Prospectus as so supplemented) is hereinafter called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Any reference in this Agreement to the Registration Statement, the Base Prospectus or the Prospectus Supplement shall be deemed to refer to and include the documents incorporated by reference therein (the “</w:t>
      </w:r>
      <w:r>
        <w:rPr>
          <w:rFonts w:ascii="Times New Roman" w:cs="Times New Roman" w:eastAsia="Times New Roman" w:hAnsi="Times New Roman"/>
          <w:sz w:val="18"/>
          <w:szCs w:val="18"/>
          <w:b w:val="1"/>
          <w:bCs w:val="1"/>
          <w:color w:val="auto"/>
        </w:rPr>
        <w:t>Incorporated Documents</w:t>
      </w:r>
      <w:r>
        <w:rPr>
          <w:rFonts w:ascii="Times New Roman" w:cs="Times New Roman" w:eastAsia="Times New Roman" w:hAnsi="Times New Roman"/>
          <w:sz w:val="18"/>
          <w:szCs w:val="18"/>
          <w:color w:val="auto"/>
        </w:rPr>
        <w:t>”) pursuant to Item 6 of Form F-3 which were filed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on or before the date of this Agreement, or the issue date of the Base Prospectus or the Prospectus Supplement, as the case may be; and any reference in this Agreement to the terms “amend,” “amendment” or “supplement” with respect to the Registration Statement, the Base Prospectus or the Prospectus Supplement shall be deemed to refer to and include the filing of any document under the Exchange Act after the date of this Agreement, or the issue date of the Base Prospectus or the Prospectus Supplement, as the case may be, deemed to be incorporated therein by reference. All references in this Agreement to financial statements and schedules and other information which is “contained,” “included,” “described,” “referenced,” “set forth” or “stated” in the Registration Statement, the Base Prospectus or the Prospectus Supplement (and all other references of like import) shall be deemed to mean and include all such financial statements and schedules and other information which is or is deemed to be incorporated by reference in the Registration Statement, the Base Prospectus or the Prospectus Supplement, as the case may be. No stop order suspending the effectiveness of the Registration Statement or the use of the Base Prospectus or the Prospectus Supplement has been issued, and no proceeding for any such purpose is pending or has been initiated or, to the Company’s knowledge, is threatened by the Commission. 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5" w:name="page56"/>
    <w:bookmarkEnd w:id="55"/>
    <w:p>
      <w:pPr>
        <w:jc w:val="both"/>
        <w:ind w:firstLine="1952"/>
        <w:spacing w:after="0" w:line="252" w:lineRule="auto"/>
        <w:tabs>
          <w:tab w:leader="none" w:pos="2129"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any further documents to be filed with the Commission) contains all exhibits and schedules as required by the Securities Act. Each of the Registration Statement and any post-effective amendment thereto, at the time it became effective, complied in all material respects with the Securities Act and the Exchange Act and the applicable Rules and Regulations and did not and, as amended or supplemented, if applicable, will not, contain any untrue statement of a material fact or omit to state a material fact required to be stated therein or necessary to make the statements therein not misleading. The Base Prospectus and the Prospectus Supplement, each as of its respective date, complied or will comply in all material respects with the Securities Act and the Exchange Act and the applicable Rules and Regulations. Each of the Base Prospectus, and the Prospectus Supplement, as amended or supplemented, did not and will not contain as of the date thereof any untrue statement of a material fact or omit to state a material fact necessary in order to make the statements therein, in the light of the circumstances under which they were made, not misleading. The Incorporated Documents, when they were filed with the Commission, conformed in all material respects to the requirements of the Exchange Act and the applicable Rules and Regulations, and none of such documents, when they were filed with the Commission, contained any untrue statement of a material fact or omitted to state a material fact necessary to make the statements therein (with respect to Incorporated Documents incorporated by reference in the Base Prospectus or Prospectus Supplement), in the light of the circumstances under which they were made not misleading; and any further documents so filed and incorporated by reference in the Base Prospectus, or Prospectus Supplement, when such documents are filed with the Commission, will conform in all material respects to the requirements of the Exchange Act and the applicable Rules and Regulations, as applicable, and will not contain any untrue statement of a material fact or omit to state a material fact necessary to make the statements therein, in the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Except for this Agreement and the Transaction Documents,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Base Prospectus, or Prospectus Supplement, or to be filed as exhibits or schedules to the Registration Statement, which (x) have not been described or filed as required or (y) will not be filed within the requisite time period.</w:t>
      </w:r>
    </w:p>
    <w:p>
      <w:pPr>
        <w:spacing w:after="0" w:line="187"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33"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eligible to use Free Writing Prospectuses in connection with the Placement pursuant to Rules 164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behalf of or used by the Company complies or will comply in all material respects with the requirements of the Securities Act and the applicable rules and regulations of the Commission thereunder. The Company will not, without the prior consent of the Placement Agent, prepare, use or refer to, any Free Writing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6" w:name="page57"/>
    <w:bookmarkEnd w:id="56"/>
    <w:p>
      <w:pPr>
        <w:jc w:val="both"/>
        <w:ind w:firstLine="1952"/>
        <w:spacing w:after="0" w:line="254" w:lineRule="auto"/>
        <w:tabs>
          <w:tab w:leader="none" w:pos="2143"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all reports, schedules, forms, statements or other documents required to be filed by the Company under the Securities Act or Exchange Act, during the three years preceding the date hereof (the foregoing materials filed during such three-year period, including the exhibits thereto and documents incorporated by reference therein, the “</w:t>
      </w:r>
      <w:r>
        <w:rPr>
          <w:rFonts w:ascii="Times New Roman" w:cs="Times New Roman" w:eastAsia="Times New Roman" w:hAnsi="Times New Roman"/>
          <w:sz w:val="18"/>
          <w:szCs w:val="18"/>
          <w:b w:val="1"/>
          <w:bCs w:val="1"/>
          <w:color w:val="auto"/>
        </w:rPr>
        <w:t>SEC Reports</w:t>
      </w:r>
      <w:r>
        <w:rPr>
          <w:rFonts w:ascii="Times New Roman" w:cs="Times New Roman" w:eastAsia="Times New Roman" w:hAnsi="Times New Roman"/>
          <w:sz w:val="18"/>
          <w:szCs w:val="18"/>
          <w:color w:val="auto"/>
        </w:rPr>
        <w:t>”). For the twelve months preceding the date hereof, the Company has filed the SEC Reports on a timely basis (including any valid extension of such time of filing provided under Rule 12b-5 or under coronavirus-related relief by the SEC) and has filed any such SEC Reports prior to the expiration of any such extension. As of their respective filing or amendment dates, the SEC Reports complied in all material respects with the requirements of the Exchange Act and the rules and regulations of the Commission promulgated thereunder; and as of their respective filing or amendment dates, the SEC Reports did not contain any untrue statement of a material fact or omit to state any material fact necessary in order to make the statements therein, in light of the circumstances under which they were made, not misleading.</w:t>
      </w:r>
    </w:p>
    <w:p>
      <w:pPr>
        <w:spacing w:after="0" w:line="184" w:lineRule="exact"/>
        <w:rPr>
          <w:rFonts w:ascii="Times New Roman" w:cs="Times New Roman" w:eastAsia="Times New Roman" w:hAnsi="Times New Roman"/>
          <w:sz w:val="18"/>
          <w:szCs w:val="18"/>
          <w:color w:val="auto"/>
        </w:rPr>
      </w:pPr>
    </w:p>
    <w:p>
      <w:pPr>
        <w:jc w:val="both"/>
        <w:ind w:firstLine="1952"/>
        <w:spacing w:after="0" w:line="268" w:lineRule="auto"/>
        <w:tabs>
          <w:tab w:leader="none" w:pos="216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affiliations with any Financial Industry Regulatory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member firm among the Company’s officers, directors or, to the knowledge of the Company, any ten percent (10%) or greater shareholder of the Company, except as set forth in the Registration Statement and the SEC Reports.</w:t>
      </w:r>
    </w:p>
    <w:p>
      <w:pPr>
        <w:spacing w:after="0" w:line="174" w:lineRule="exact"/>
        <w:rPr>
          <w:rFonts w:ascii="Times New Roman" w:cs="Times New Roman" w:eastAsia="Times New Roman" w:hAnsi="Times New Roman"/>
          <w:sz w:val="18"/>
          <w:szCs w:val="18"/>
          <w:color w:val="auto"/>
        </w:rPr>
      </w:pPr>
    </w:p>
    <w:p>
      <w:pPr>
        <w:ind w:left="1520" w:hanging="216"/>
        <w:spacing w:after="0"/>
        <w:tabs>
          <w:tab w:leader="none" w:pos="15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the Company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952"/>
        <w:spacing w:after="0" w:line="255" w:lineRule="auto"/>
        <w:tabs>
          <w:tab w:leader="none" w:pos="2126"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or made available, or will as promptly as practicable deliver or make available, to the Placement Agent complete conformed copies of the Registration Statement and of each consent and certificate of experts, as applicable, filed as a part thereof, and conformed copies of the Registration Statement (without exhibits), the Base Prospectus, and the Prospectus Supplement, as amended or supplemented, in such quantities and at such places as the Placement Agent reasonably requests. Neither the Company nor any of its directors and officers has distributed and none of them will distribute, prior to the Closing Date, any offering material in connection with the offering and sale of the Securities pursuant to the Placements other than the Transaction Documents, the Base Prospectus, the Prospectus Supplement, the Registration Statement, copies of the documents incorporated by reference therein and any other materials permitted by the Securities Act.</w:t>
      </w:r>
    </w:p>
    <w:p>
      <w:pPr>
        <w:spacing w:after="0" w:line="188"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29"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advise the Placement Agent promptly after it receives notice thereof of the time when any amendment to the Registration Statement has been filed or becomes effective or any supplement to the Base Prospectus or the Prospectus Supplement has been filed and will furnish the Placement Agent with copies thereof, the parties acknowledging that such obligation is satisfied by filing such materials on the EDGAR system of the SEC. The Company will file promptly all reports and any definitive proxy or information statements required to be filed by the Company with the Commission pursuant to Section 13(a), 14 or 15(d) of the Exchange Act subsequent to the date of the Prospectus Supplement and for so long as the delivery of a prospectus is required in connection with the Placement. The Company will advise the Placement Agent, promptly after it receives notice thereof (i) of any request by the Commission to amend the Registration Statement or to amend or supplement any Prospectus or for additional information, and (ii) of the issuance by the Commission of any stop order suspending the effectiveness of the Registration Statement or any post-effective amendment thereto or any order directed at any Incorporated Document, if any, or any amendment or supplement thereto or any order preventing or suspending the use of the Base Prospectus or the final Prospectus or any prospectus supplement or any amendment or supplement thereto or any post-effective amendment to the Registration Statement, of the suspension of the qualification of any of the Public Securities for offering or sale in any jurisdiction, of the institution or threatened institution of any proceeding for any such purpose, or of any request by the Commission for the amending or supplementing of the Registration Statement or a Prospectus or for additional information. The Company shall use its best efforts to prevent the issuance of any such stop order or prevention or suspension of such use. If the Commission shall enter any such stop order or order or notice of prevention or suspension at any time, the Company will use its best efforts to obtain the lifting of such order at the earliest possible moment, or will file a new registration statement and use its best efforts to have such new registration statement declared effective as soon as practicable. Additionally, the Company agrees that it shall comply with the provisions of Rules 424(b), 430A, 430B and 430C, as applicable, under the Securities Act, including with respect to the timely filing of documents thereunder, and will use its best efforts to confirm that any filings made by the Company under such Rule 424(b) are received in a timely manner by the Commission.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jc w:val="both"/>
        <w:ind w:firstLine="1952"/>
        <w:spacing w:after="0" w:line="253" w:lineRule="auto"/>
        <w:tabs>
          <w:tab w:leader="none" w:pos="213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cooperate with the Placement Agent and the Purchasers in endeavoring to qualify the Securities for sale under the securities laws of such jurisdictions (United States and foreign) as the Placement Agent and the Purchasers may reasonably request and will make such applications, file such documents, and furnish such information as may be reasonably required for that purpose, provided the Company shall not be required to qualify as a foreign corporation or to file a general consent to service of process in any jurisdiction where it is not now so qualified or required to file such a consent, and provided further that the Company shall not be required to produce any new disclosure document. The Company will, from time to time, prepare and file such statements, reports and other documents as are or may be required to continue such qualifications in effect for so long a period as the Placement Agent may reasonably request for distribution of the Securities. The Company will advise the Placement Agent promptly of the suspension of the qualification or registration of (or any such exemption relating to) the Securities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at the earliest possible moment.</w:t>
      </w:r>
    </w:p>
    <w:p>
      <w:pPr>
        <w:spacing w:after="0" w:line="194" w:lineRule="exact"/>
        <w:rPr>
          <w:rFonts w:ascii="Times New Roman" w:cs="Times New Roman" w:eastAsia="Times New Roman" w:hAnsi="Times New Roman"/>
          <w:sz w:val="18"/>
          <w:szCs w:val="18"/>
          <w:color w:val="auto"/>
        </w:rPr>
      </w:pPr>
    </w:p>
    <w:p>
      <w:pPr>
        <w:jc w:val="both"/>
        <w:ind w:firstLine="1952"/>
        <w:spacing w:after="0" w:line="252" w:lineRule="auto"/>
        <w:tabs>
          <w:tab w:leader="none" w:pos="213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comply with the Securities Act and the Exchange Act, and the rules and regulations of the Commission thereunder, so as to permit the completion of the distribution of the Securities as contemplated in this Agreement, the Incorporated Documents and any Prospectus. If during the period in which a prospectus is required by law to be delivered in connection with the distribution of any Securities contemplated by the Incorporated Documents or any Prospectus (the “</w:t>
      </w:r>
      <w:r>
        <w:rPr>
          <w:rFonts w:ascii="Times New Roman" w:cs="Times New Roman" w:eastAsia="Times New Roman" w:hAnsi="Times New Roman"/>
          <w:sz w:val="18"/>
          <w:szCs w:val="18"/>
          <w:b w:val="1"/>
          <w:bCs w:val="1"/>
          <w:color w:val="auto"/>
        </w:rPr>
        <w:t>Prospectus Delivery Period</w:t>
      </w:r>
      <w:r>
        <w:rPr>
          <w:rFonts w:ascii="Times New Roman" w:cs="Times New Roman" w:eastAsia="Times New Roman" w:hAnsi="Times New Roman"/>
          <w:sz w:val="18"/>
          <w:szCs w:val="18"/>
          <w:color w:val="auto"/>
        </w:rPr>
        <w:t>”), any event shall occur as a result of which, in the judgment of the Company or in the opinion of the Placement Agent or counsel for the Placement Agent, it becomes necessary to amend or supplement the Incorporated Documents or any Prospectus in order to make the statements therein, in the light of the circumstances under which they were made, as the case may be, not misleading, or if it is necessary at any time to amend or supplement the Incorporated Documents or any Prospectus or to file under the Exchange Act any Incorporated Document to comply with any law, the Company will promptly prepare and file with the Commission, and furnish at its own expense to the Placement Agent and to dealers, an appropriate amendment to the Registration Statement or supplement to the Registration Statement, the Incorporated Documents or any Prospectus that is necessary in order to make the statements in the Incorporated Documents and any Prospectus as so amended or supplemented, in the light of the circumstances under which they were made, as the case may be, not misleading, or so that the Registration Statement, the Incorporated Documents or any Prospectus, as so amended or supplemented, will comply with law. Before amending the Registration Statement or supplementing the Incorporated Documents or any Prospectus in connection with the Placement, the Company will furnish the Placement Agent with a copy of such proposed amendment or supplement and will not file any such amendment or supplement to which the Placement Agent reasonably objects.</w:t>
      </w:r>
    </w:p>
    <w:p>
      <w:pPr>
        <w:spacing w:after="0" w:line="197" w:lineRule="exact"/>
        <w:rPr>
          <w:rFonts w:ascii="Times New Roman" w:cs="Times New Roman" w:eastAsia="Times New Roman" w:hAnsi="Times New Roman"/>
          <w:sz w:val="18"/>
          <w:szCs w:val="18"/>
          <w:color w:val="auto"/>
        </w:rPr>
      </w:pPr>
    </w:p>
    <w:p>
      <w:pPr>
        <w:ind w:firstLine="1952"/>
        <w:spacing w:after="0" w:line="282" w:lineRule="auto"/>
        <w:tabs>
          <w:tab w:leader="none" w:pos="21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Prospectus Delivery Period, the Company will duly file, on a timely basis, with the Commission and the Trading Market all reports and documents required to be filed under the Exchange Act within the time periods and in the manner required by the Exchange Act.</w:t>
      </w:r>
    </w:p>
    <w:p>
      <w:pPr>
        <w:spacing w:after="0" w:line="161" w:lineRule="exact"/>
        <w:rPr>
          <w:rFonts w:ascii="Times New Roman" w:cs="Times New Roman" w:eastAsia="Times New Roman" w:hAnsi="Times New Roman"/>
          <w:sz w:val="18"/>
          <w:szCs w:val="18"/>
          <w:color w:val="auto"/>
        </w:rPr>
      </w:pPr>
    </w:p>
    <w:p>
      <w:pPr>
        <w:ind w:firstLine="1952"/>
        <w:spacing w:after="0" w:line="282" w:lineRule="auto"/>
        <w:tabs>
          <w:tab w:leader="none" w:pos="2133"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take, directly or indirectly, any action designed to cause or result in, or that has constituted or might reasonably be expected to constitute, the stabilization or manipulation of the price of any securities of the Company.</w:t>
      </w:r>
    </w:p>
    <w:p>
      <w:pPr>
        <w:spacing w:after="0" w:line="159" w:lineRule="exact"/>
        <w:rPr>
          <w:rFonts w:ascii="Times New Roman" w:cs="Times New Roman" w:eastAsia="Times New Roman" w:hAnsi="Times New Roman"/>
          <w:sz w:val="18"/>
          <w:szCs w:val="18"/>
          <w:color w:val="auto"/>
        </w:rPr>
      </w:pPr>
    </w:p>
    <w:p>
      <w:pPr>
        <w:ind w:left="2140" w:hanging="188"/>
        <w:spacing w:after="0"/>
        <w:tabs>
          <w:tab w:leader="none" w:pos="2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firstLine="1952"/>
        <w:spacing w:after="0" w:line="258" w:lineRule="auto"/>
        <w:tabs>
          <w:tab w:leader="none" w:pos="212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conditions specified in this Section 1(B) shall not have been fulfilled when and as provided in this Agreement, or if any of the opinions and certificates mentioned above or elsewhere in this Agreement shall not be reasonably satisfactory in form and substance to the Placement Agent and its counsel, this Agreement and all obligations of the Placement Agent hereunder may be canceled at, or at any time prior to, the Closing Date by the Placement Agent. Notice of such cancellation shall be given to the Company in writing or by telephone or facsimile confirmed in writing.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8" w:name="page59"/>
    <w:bookmarkEnd w:id="58"/>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REPRESENTATIONS OF THE PLACEMENT AGENT</w:t>
      </w:r>
      <w:r>
        <w:rPr>
          <w:rFonts w:ascii="Times New Roman" w:cs="Times New Roman" w:eastAsia="Times New Roman" w:hAnsi="Times New Roman"/>
          <w:sz w:val="18"/>
          <w:szCs w:val="18"/>
          <w:color w:val="auto"/>
        </w:rPr>
        <w:t>. The Placement Agent represents and warrants that it (i) is a member in good standing of FINRA, (ii) is registered as a broker/dealer under the Exchange Act, (iii) is licensed as a broker/dealer under the laws of the States applicable to the offers and sales of the Securities by the Placement Agent, (iv) is and will be a corporate entity validly existing under the laws of its place of formation, and (v) has full power and authority to enter into and perform its obligations under this Agreement. The Placement Agent will immediately notify the Company in writing of any change in its status as such. The Placement Agent covenants that it will use its reasonable best efforts to conduct the Placement hereunder in compliance with the provisions of this Agreement and the requirements of applicable law.</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COMPENSATION; OTHER ARRANGEMENTS</w:t>
      </w:r>
      <w:r>
        <w:rPr>
          <w:rFonts w:ascii="Times New Roman" w:cs="Times New Roman" w:eastAsia="Times New Roman" w:hAnsi="Times New Roman"/>
          <w:sz w:val="18"/>
          <w:szCs w:val="18"/>
          <w:color w:val="auto"/>
        </w:rPr>
        <w:t>. In consideration of the services to be provided for hereunder by the Placement Agent, the Company shall pay to the Placement Agent the following compensation with respect to the Securities which the Placement Agent is placing:</w:t>
      </w:r>
    </w:p>
    <w:p>
      <w:pPr>
        <w:spacing w:after="0" w:line="158" w:lineRule="exact"/>
        <w:rPr>
          <w:sz w:val="20"/>
          <w:szCs w:val="20"/>
          <w:color w:val="auto"/>
        </w:rPr>
      </w:pPr>
    </w:p>
    <w:p>
      <w:pPr>
        <w:ind w:left="1620" w:hanging="316"/>
        <w:spacing w:after="0" w:line="286"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fee (the “</w:t>
      </w:r>
      <w:r>
        <w:rPr>
          <w:rFonts w:ascii="Times New Roman" w:cs="Times New Roman" w:eastAsia="Times New Roman" w:hAnsi="Times New Roman"/>
          <w:sz w:val="18"/>
          <w:szCs w:val="18"/>
          <w:b w:val="1"/>
          <w:bCs w:val="1"/>
          <w:color w:val="auto"/>
        </w:rPr>
        <w:t>Cash Fee</w:t>
      </w:r>
      <w:r>
        <w:rPr>
          <w:rFonts w:ascii="Times New Roman" w:cs="Times New Roman" w:eastAsia="Times New Roman" w:hAnsi="Times New Roman"/>
          <w:sz w:val="18"/>
          <w:szCs w:val="18"/>
          <w:color w:val="auto"/>
        </w:rPr>
        <w:t>”) equal to seven percent (7.0%) of the aggregate gross proceeds raised in the Placement. The Cash Fee shall be paid at the closing of the Placements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non-accountable expense equal to half percent (0.5%) of the aggregate gross proceeds raised in the Placement.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Subject to compliance with FINRA Rule 5110(f)(2)(D), the Company also agrees to reimburse the Placement Agent for all reasonable travel and other out-of-pocket expenses, including the reasonable fees, costs and disbursements of its legal counsel, in an amount not to exceed an aggregate of $80,000. The Company will reimburse the Placement Agent directly as soon as applicable once requested.</w:t>
      </w:r>
    </w:p>
    <w:p>
      <w:pPr>
        <w:spacing w:after="0" w:line="176" w:lineRule="exact"/>
        <w:rPr>
          <w:sz w:val="20"/>
          <w:szCs w:val="20"/>
          <w:color w:val="auto"/>
        </w:rPr>
      </w:pPr>
    </w:p>
    <w:p>
      <w:pPr>
        <w:jc w:val="both"/>
        <w:ind w:firstLine="1342"/>
        <w:spacing w:after="0" w:line="261" w:lineRule="auto"/>
        <w:rPr>
          <w:sz w:val="20"/>
          <w:szCs w:val="20"/>
          <w:color w:val="auto"/>
        </w:rPr>
      </w:pPr>
      <w:r>
        <w:rPr>
          <w:rFonts w:ascii="Times New Roman" w:cs="Times New Roman" w:eastAsia="Times New Roman" w:hAnsi="Times New Roman"/>
          <w:sz w:val="18"/>
          <w:szCs w:val="18"/>
          <w:color w:val="auto"/>
        </w:rPr>
        <w:t>C. If within three (3) months after the end of the Term (as defined below), the Company completes any financing of equity, equity-linked or debt or other capital-raising activity of the Company for which any investors in the Placement were formally introduced by the Placement Agent via email in connection therewith (other than the exercise by any person or entity of any options, warrants or other convertible securities), with whom the Company had no prior contact or dealing, then the Company shall pay to the Placement Agent a commission as described in Section 3(A) herein.</w:t>
      </w:r>
    </w:p>
    <w:p>
      <w:pPr>
        <w:spacing w:after="0" w:line="180"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D. The Placement Agent reserves the right to reduce any item of its compensation or adjust (in the Company’s favor) the terms thereof as specified herein in the event that a determination shall be made by FINRA to the effect that the Placement Agent’s aggregate compensation is in excess of FINRA’s rules and regulations or that the terms thereof require adjustment.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agrees to the indemnification and other agreements set forth in the Indemnification Provisions (the “</w:t>
      </w:r>
      <w:r>
        <w:rPr>
          <w:rFonts w:ascii="Times New Roman" w:cs="Times New Roman" w:eastAsia="Times New Roman" w:hAnsi="Times New Roman"/>
          <w:sz w:val="18"/>
          <w:szCs w:val="18"/>
          <w:b w:val="1"/>
          <w:bCs w:val="1"/>
          <w:color w:val="auto"/>
        </w:rPr>
        <w:t>Indemnification</w:t>
      </w:r>
      <w:r>
        <w:rPr>
          <w:rFonts w:ascii="Times New Roman" w:cs="Times New Roman" w:eastAsia="Times New Roman" w:hAnsi="Times New Roman"/>
          <w:sz w:val="18"/>
          <w:szCs w:val="18"/>
          <w:color w:val="auto"/>
        </w:rPr>
        <w:t xml:space="preserve">”) attached hereto as </w:t>
      </w:r>
      <w:r>
        <w:rPr>
          <w:rFonts w:ascii="Times New Roman" w:cs="Times New Roman" w:eastAsia="Times New Roman" w:hAnsi="Times New Roman"/>
          <w:sz w:val="18"/>
          <w:szCs w:val="18"/>
          <w:u w:val="single" w:color="auto"/>
          <w:color w:val="auto"/>
        </w:rPr>
        <w:t>Addendum A</w:t>
      </w:r>
      <w:r>
        <w:rPr>
          <w:rFonts w:ascii="Times New Roman" w:cs="Times New Roman" w:eastAsia="Times New Roman" w:hAnsi="Times New Roman"/>
          <w:sz w:val="18"/>
          <w:szCs w:val="18"/>
          <w:color w:val="auto"/>
        </w:rPr>
        <w:t>, the provisions of which are incorporated herein by reference and shall survive the termination or expiration of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ENGAGEMENT TERM</w:t>
      </w:r>
      <w:r>
        <w:rPr>
          <w:rFonts w:ascii="Times New Roman" w:cs="Times New Roman" w:eastAsia="Times New Roman" w:hAnsi="Times New Roman"/>
          <w:sz w:val="18"/>
          <w:szCs w:val="18"/>
          <w:color w:val="auto"/>
        </w:rPr>
        <w:t>. The Placement Agent’s engagement hereunder shall be until the final Closing Date of the Placement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and the period of time during which this Agreement remains in effect is referred to herein as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Notwithstanding anything to the contrary contained herein, the provisions concerning the Company’s obligation to pay any fees actually earned pursuant to Section 3 hereof and the provisions concerning confidentiality, indemnification and contribution contained herein and the Company’s obligations contained in the Indemnification Provisions attached hereto as </w:t>
      </w:r>
      <w:r>
        <w:rPr>
          <w:rFonts w:ascii="Times New Roman" w:cs="Times New Roman" w:eastAsia="Times New Roman" w:hAnsi="Times New Roman"/>
          <w:sz w:val="18"/>
          <w:szCs w:val="18"/>
          <w:u w:val="single" w:color="auto"/>
          <w:color w:val="auto"/>
        </w:rPr>
        <w:t>Addendum A</w:t>
      </w:r>
      <w:r>
        <w:rPr>
          <w:rFonts w:ascii="Times New Roman" w:cs="Times New Roman" w:eastAsia="Times New Roman" w:hAnsi="Times New Roman"/>
          <w:sz w:val="18"/>
          <w:szCs w:val="18"/>
          <w:color w:val="auto"/>
        </w:rPr>
        <w:t xml:space="preserve"> will survive any expiration or termination of this Agreement. If this Agreement is terminated prior to the completion of the Placement, all fees and expense reimbursements due to the Placement Agent shall be paid by the Company to the Placement Agent on or before the Termination Date (in the event such fees are earned or owed as of the Termination Date). The Placement Agent agrees not to use any confidential information concerning the Company provided to the Placement Agent by the Company for any purposes other than those contemplated under this Agreement.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PLACEMENT AGENT’S INFORMATION</w:t>
      </w:r>
      <w:r>
        <w:rPr>
          <w:rFonts w:ascii="Times New Roman" w:cs="Times New Roman" w:eastAsia="Times New Roman" w:hAnsi="Times New Roman"/>
          <w:sz w:val="18"/>
          <w:szCs w:val="18"/>
          <w:color w:val="auto"/>
        </w:rPr>
        <w:t>. The Company agrees that any information or advice rendered by the Placement Agent in connection with this engagement is for the confidential use of the Company only in its evaluation of the Placement and, except as otherwise required by law, the Company will not disclose or otherwise refer to the advice or information in any manner without the Placement Agent’s prior written consent.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xml:space="preserve">. This Agreement does not create, and shall not be construed as creating rights enforceable by any person or entity not a party hereto, except those entitled hereto by virtue of the Indemnification Provisions attached hereto as </w:t>
      </w:r>
      <w:r>
        <w:rPr>
          <w:rFonts w:ascii="Times New Roman" w:cs="Times New Roman" w:eastAsia="Times New Roman" w:hAnsi="Times New Roman"/>
          <w:sz w:val="18"/>
          <w:szCs w:val="18"/>
          <w:u w:val="single" w:color="auto"/>
          <w:color w:val="auto"/>
        </w:rPr>
        <w:t>Addendum A</w:t>
      </w:r>
      <w:r>
        <w:rPr>
          <w:rFonts w:ascii="Times New Roman" w:cs="Times New Roman" w:eastAsia="Times New Roman" w:hAnsi="Times New Roman"/>
          <w:sz w:val="18"/>
          <w:szCs w:val="18"/>
          <w:color w:val="auto"/>
        </w:rPr>
        <w:t xml:space="preserve"> hereof. The Company acknowledges and agrees that the Placement Agent is not nor shall it be construed as a fiduciary of the Company and the Placement Agent shall not have any duties or liabilities to the equity holders or the creditors of the Company or any other person by virtue of this Agreement or the retention of the Placement Agent hereunder, all of which are hereby expressly waived.</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The obligations of the Placement Agent, and the Closing of the sale of the Securities hereunder are subject to the accuracy, when made and on the Closing Date, of the representations and warranties on the part of the Company contained herein and in the Purchase Agreement, to the accuracy of the statements of the Company made in any certificates pursuant to the provisions hereof, to the performance by the Company of their obligations hereunder, and to each of the following additional terms and conditions, except as otherwise disclosed to and acknowledged and waived by the Placement Agent.</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No stop order suspending the effectiveness of the Registration Statement shall have been issued and no proceedings for that purpose shall have been initiated or threatened by the Commission, and any request for additional information on the part of the Commission (to be included in the Registration Statement, the Base Prospectus, the Prospectus Supplement or otherwise) shall have been complied with to the reasonable satisfaction of the Placement Agent. Any filings required to be made by the Company in connection with the Placement shall have been timely filed with the Commission.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Placement Agent shall not have discovered and disclosed to the Company on or prior to the Closing Date that the Registration Statement, the Base Prospectus, the Prospectus Supplement or any amendment or supplement thereto contains an untrue statement of a fact which, in the opinion of counsel for the Placement Agent, is material or omits to state any fact which, in the opinion of such counsel, is material and is required to be stated therein or is necessary to make the statements therein not misleading.</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All corporate proceedings and other legal matters incident to the authorization, form, execution, delivery and validity of each of this Agreement, the other Transaction Documents, the Securities, the Registration Statement, the Base Prospectus and the Prospectus Supplement and all other legal matters relating to this Agreement and the transactions contemplated hereby and thereby shall be reasonably satisfactory in all material respects to counsel for the Placement Agent and the Company shall have furnished to such counsel all documents and information that they may reasonably request to enable them to pass upon such matters.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Placement Agent shall have completed its due diligence investigation of the Company to the satisfaction of the Placement Agent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its counsel.</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The Placement Agent shall have received from outside counsels to the Company such counsels’ written opinions, addressed to the Placement Agent and the Purchasers and dated as of the Closing Date, in form and substance reasonably satisfactory to the Placement Agent.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On the date of this Agreement and on the Closing Date, the Placement Agent shall have received a certificate of the chief financial officer of the Company, as of each such date, addressed to the Placement Agent and in form and substance satisfactory in all respects to the Placement Agent, providing a customary certification as to such accounting or financial matters that are included or incorporated by reference in the Registration Statement or the Prospectus Supplement.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G. On the Closing Date, Placement Agent shall have received a certificate of signed by the chief executive officer of the Company, dated, as applicable, as of the date of such Closing, to the effect that, as of the date of this Agreement and as of the Closing Date, the representations and warranties of the Company contained herein and in the Purchase Agreement were and are accurate in all material respects, except for such changes as are contemplated by this Agreement and except as to representations and warranties that were expressly limited to a state of facts existing at a time prior to the applicable Closing Date, and that, as of the applicable date, the obligations to be performed by the Company hereunder on or prior thereto have been fully performed in all material respects.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H. On the Closing Date, Placement Agent shall have received from the Company a certificate of the corporate secretary of the Company, dated, as applicable, as of the date of such Closing, certifying to the organizational documents of the Company, good standing in the jurisdiction of formation of the Company and board resolutions authorizing the Placement of the Securities.</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I. The Company (i) shall not have sustained since the date of the latest audited financial statements included or incorporated by reference in the Registration Statement, the Base Prospectus and the Prospectus Supplement, any loss or interference with its business as a result of any fire, explosion, flood, terrorist act, epidemic or pandemic (including as a result of the coronavirus known as COVID-19), any change in general economic, political or financial conditions in the United States or elsewhere, act of war or other calamity, whether or not covered by insurance, or from any labor dispute or court or governmental action, order or decree, otherwise than as set forth in or contemplated by the Registration Statement, the Base Prospectus and the Prospectus Supplement, and (ii) since such date there shall not have been any change in the capital stock, except for a ten to one reverse stock split, or long-term debt of the Company or any change, or any development involving a prospective change, in or affecting the business, general affairs, management, financial position, shareholders’ equity, results of operations or prospects of the Company, otherwise than as set forth in or contemplated by the Registration Statement, the Base Prospectus and the Prospectus Supplement, the effect of which, in any such case described in clause (i) or (ii), is, in the judgment of the Placement Agent, so material and adverse as to make it impracticable or inadvisable to proceed with the sale or delivery of the Securities on the terms and in the manner contemplated by the Base Prospectus, the Prospectus Supplement and the Purchase Agreement.</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J. The Ordinary Share is registered under the Exchange Act and, as of the Closing Date, the Company has submitted the notification of listing of additional shares of Ordinary Share, including the Securities to the Trading Market or other U.S. applicable national exchange, and the Securities shall be listed for trading on the Trading Market or other applicable U.S. national exchange and reasonable evidence of such action, if available, shall have been provided to the Placement Agent. The Company shall have taken no action designed to terminate, or likely to have the effect of, terminating the registration of the Ordinary Share under the Exchange Act or delisting or suspending from trading the Ordinary Share from the Trading Market or other applicable U.S. national exchange, nor has the Company received any information suggesting that the Commission or the Trading Market or other U.S. applicable national exchange is contemplating terminating such registration or listing.</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K. No action shall have been taken and no statute, rule, regulation or order shall have been enacted, adopted or issued by any governmental agency or body which would, as of the Closing Date, prevent the issuance or sale of the Securities or materially and adversely affect or potentially and adversely affect the business or operations of the Company; and no injunction, restraining order or order of any other nature by any federal or state court of competent jurisdiction shall have been issued as of the Closing Date which would prevent the issuance or sale of the Securities or materially and adversely affect or potentially and adversely affect the business or operations of the Company.</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The Company shall have prepared and filed with the Commission a Current Report on Form 6-K with respect to the Placement, including as an exhibit thereto this Agreement.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M. The Company shall have entered into a Purchase Agreement with each of the Purchasers and such agreements shall be in full force and effect and shall contain representations, warranties and covenants of the Company as agreed between the Company and the Purchasers.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N. FINRA shall have raised no objection to the fairness and reasonableness of the terms and arrangements of this Agreement. In addition, the Company shall, if requested by the Placement Agent, make or authorize Placement Agent’s counsel to make on the Company’s behalf, any filing with the FINRA Corporate Financing Department pursuant to FINRA Rule 5110 with respect to the Placement and pay all filing fees required in connection therewith.</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 The Company shall apply the net proceeds from the Placement received by it in a manner consistent with the application thereof described under the caption or heading “Use of Proceeds” in the Registration Statement, the Base Prospectus, the Prospectus Supplement and the Purchase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1" w:name="page62"/>
    <w:bookmarkEnd w:id="6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 Prior to the Closing Date, the Company shall have furnished to the Placement Agent such further information, certificates and documents as the Placement Agent may reasonably request.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any of the conditions specified in this Section 8 shall not have been fulfilled when and as required by this Agreement, or if any of the certificates, opinions, written statements or letters furnished to the Placement Agent or to Placement Agent’s counsel pursuant to this Section 8 shall not be reasonably satisfactory in form and substance to the Placement Agent and to Placement Agent’s counsel, all obligations of the Placement Agent hereunder may be cancelled by the Placement Agent at, or at any time prior to, the consummation of the Closing. Notice of such cancellation shall be given to the Company in writing or orally. Any such oral notice shall be confirmed promptly thereafter in writing.</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FUTURE SERVICES</w:t>
      </w:r>
      <w:r>
        <w:rPr>
          <w:rFonts w:ascii="Times New Roman" w:cs="Times New Roman" w:eastAsia="Times New Roman" w:hAnsi="Times New Roman"/>
          <w:sz w:val="18"/>
          <w:szCs w:val="18"/>
          <w:color w:val="auto"/>
        </w:rPr>
        <w:t>. The Company and Univest agree that for a period of six (6) months from the closing date of the Offering, the Company grants Univest the right to provide investment banking services to the Company on an exclusive basis in the matters below, for which investment banking services are sought by the Company (such right, the “</w:t>
      </w:r>
      <w:r>
        <w:rPr>
          <w:rFonts w:ascii="Times New Roman" w:cs="Times New Roman" w:eastAsia="Times New Roman" w:hAnsi="Times New Roman"/>
          <w:sz w:val="18"/>
          <w:szCs w:val="18"/>
          <w:b w:val="1"/>
          <w:bCs w:val="1"/>
          <w:color w:val="auto"/>
        </w:rPr>
        <w:t>Right of First Refusal</w:t>
      </w:r>
      <w:r>
        <w:rPr>
          <w:rFonts w:ascii="Times New Roman" w:cs="Times New Roman" w:eastAsia="Times New Roman" w:hAnsi="Times New Roman"/>
          <w:sz w:val="18"/>
          <w:szCs w:val="18"/>
          <w:color w:val="auto"/>
        </w:rPr>
        <w:t>”), which right is exercisable in Univest's sole discretion. For these purposes, investment banking services shall include, (a) acting as lead or joint-lead manager for any underwritten public offering; (b) acting as lead or joint book-runner and/or lead or joint placement agent, initial purchaser in connection with any private offering of securities of the Company, excluding any private placement transactions between the Company and non-U.S. persons in compliance with Regulation S promulgated under the Securities Act, provided that no placement agent, underwriter or other investment bank is engaged in connection with such transactions; and (c) acting as financial advisor in connection with any sale or other transfer by the Company, directly or indirectly, of a majority or controlling portion of its capital stock or assets to another entity, any purchase or other transfer by another entity, directly or indirectly, of a majority or controlling portion of the capital stock or assets of the Company, and any merger or consolidation of the Company with another entity. Univest shall notify the Company of its intention to exercise the Right of First Refusal within 15 business days following notice in writing by the Company. Any decision by Univest to act in any such capacity shall be contained in separate agreements, which agreements would contain, among other matters, provisions for customary fees for transactions of similar size and nature, as may be mutually agreed upon, and indemnification of Univest and shall be subject to general market conditions. In compliance with FINRA Rule 5110(g)</w:t>
      </w:r>
    </w:p>
    <w:p>
      <w:pPr>
        <w:spacing w:after="0" w:line="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(6)(A), in no circumstances the Right of First Refusal shall have a duration of more than three years from the commencement of sales of the public offering or the termination date of the engagement between the Company and Univest. If Univest declines to exercise the Right of First Refusal, the Company shall have the right to retain any other person or persons to provide such services on terms and conditions which are not more favorable to such other person or persons than the terms declined by Univest. The Right of First Refusal granted hereunder may be terminated by the Company for "Cause," which shall mean a material breach by Univest of this Agreement or a material failure by Univest to provide the services as contemplated by this Agreement. The services provided by Univest hereunder are solely for the benefit of the Company and are not intended to confer any rights upon any persons or entities not a party hereto (including, without limitation, securityholders, employees or creditors of the Company) as against Univest or its directors, officers, agents and employees.</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and construed in accordance with, the laws of the State of New York applicable to agreements made and to be performed entirely in such State. This Agreement may not be assigned by either party without the prior written consent of the other party. This Agreement shall be binding upon and inure to the benefit of the parties hereto, and their respective successors and permitted assigns. Any right to trial by jury with respect to any dispute arising under this Agreement or any transaction or conduct in connection herewith is waived. Any dispute arising under this Agreement may be brought into the courts of the State of New York or into the Federal Court located in New York, New York and, by execution and delivery of this Agreement, the Company hereby accepts for itself and in respect of its property, generally and unconditionally, the jurisdiction of aforesaid courts. Each party hereto hereby irrevocably waives personal service of process and consents to process being served in any such suit, action or proceeding by delivering a copy thereof via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manner permitted by law. If either party shall commence an action or proceeding to enforce any provisions of a Transaction Document, then the prevailing party in such action or proceeding shall be reimbursed by the other party for its attorney’s fees and other costs and expenses incurred with the investigation, preparation and prosecution of such action or proceeding.</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ENTIRE AGREEMENT/MISC</w:t>
      </w:r>
      <w:r>
        <w:rPr>
          <w:rFonts w:ascii="Times New Roman" w:cs="Times New Roman" w:eastAsia="Times New Roman" w:hAnsi="Times New Roman"/>
          <w:sz w:val="18"/>
          <w:szCs w:val="18"/>
          <w:color w:val="auto"/>
        </w:rPr>
        <w:t xml:space="preserve">. This Agreement (including the Indemnification Provisions attached hereto as </w:t>
      </w:r>
      <w:r>
        <w:rPr>
          <w:rFonts w:ascii="Times New Roman" w:cs="Times New Roman" w:eastAsia="Times New Roman" w:hAnsi="Times New Roman"/>
          <w:sz w:val="18"/>
          <w:szCs w:val="18"/>
          <w:u w:val="single" w:color="auto"/>
          <w:color w:val="auto"/>
        </w:rPr>
        <w:t>Addendum A</w:t>
      </w:r>
      <w:r>
        <w:rPr>
          <w:rFonts w:ascii="Times New Roman" w:cs="Times New Roman" w:eastAsia="Times New Roman" w:hAnsi="Times New Roman"/>
          <w:sz w:val="18"/>
          <w:szCs w:val="18"/>
          <w:color w:val="auto"/>
        </w:rPr>
        <w:t>) embodies the entire agreement and understanding between the parties hereto with respect to this Placement, and supersedes all prior agreements and understandings, relating to the subject matter hereof. If any provision of this Agreement is determined to be invalid or unenforceable in any respect, such determination will not affect such provision in any other respect or any other provision of this Agreement, which will remain in full force and effect. This Agreement may not be amended or otherwise modified or waived except by an instrument in writing signed by both the Placement Agent and the Company. The representations, warranties, agreements and covenants contained herein shall survive the Closing of the Placement and delivery of the Securities. This Agreement may be executed in two or more counterparts, all of which when taken together shall be considered one and the same agreement and shall become effective when counterparts have been signed by each party hereto and delivered to the other party hereto, it being understood that both parties hereto need not sign the same counterpart. In the event that any signature is delivered by facsimile transmission or a .pdf format file, such signature shall create a valid and binding obligation of the party executing (or on whose behalf such signature is executed) with the same force and effect as if such facsimile or .pdf signature page were an original thereof.</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Placement Agent (i) will keep the Confidential Information (as such term is defined below) confidential and will not (except as required by applicable law or Trading Market or other stock exchange requirement, regulation or legal process (“</w:t>
      </w:r>
      <w:r>
        <w:rPr>
          <w:rFonts w:ascii="Times New Roman" w:cs="Times New Roman" w:eastAsia="Times New Roman" w:hAnsi="Times New Roman"/>
          <w:sz w:val="18"/>
          <w:szCs w:val="18"/>
          <w:b w:val="1"/>
          <w:bCs w:val="1"/>
          <w:color w:val="auto"/>
        </w:rPr>
        <w:t>Legal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Requirement</w:t>
      </w:r>
      <w:r>
        <w:rPr>
          <w:rFonts w:ascii="Times New Roman" w:cs="Times New Roman" w:eastAsia="Times New Roman" w:hAnsi="Times New Roman"/>
          <w:sz w:val="18"/>
          <w:szCs w:val="18"/>
          <w:color w:val="auto"/>
        </w:rPr>
        <w:t>”)), without the Company’s prior written consent, disclose to any person any Confidential Information, and (ii) will not use any Confidential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Information other than in connection with the Placement. The Placement Agent further agrees to disclose the Confidential Information only to its Representatives (as such term is defined below) who need to know the Confidential Information for the purpose of the Placement, and who are informed by the Placement Agent of the confidential nature of the Confidential Information. The term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shall mean, all confidential, proprietary and non-public information (whether written, oral or electronic communications) furnished by the Company to the Placement Agent or its Representatives in connection with such Placement Agent’s evaluation of the Placement. The term “</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will not, however, include information which (i) is or becomes publicly available other than as a result of a disclosure by the Placement Agent or its Representatives in violation of this Agreement, (ii) is or becomes available to the Placement Agent or any of its Representatives on a non-confidential basis from a third-party, (iii) is known to the Placement Agent or any of its Representatives prior to disclosure by the Company or any of its Representatives, or (iv) is or has been independently developed by the Placement Agent and/or the Representatives without use of any Confidential Information furnished to it by the Company. The term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shall mean with respect to the Placement Agent, its directors, board committees, officers, employees, financial advisors, attorneys and accountants. This provision shall be in full force until the earlier of (a) the date on which the Confidential Information ceases to be confidential and (b) two years from the date hereof. Notwithstanding any of the foregoing, in the event that the Placement Agent or any of its Representatives are required by Legal Requirement to disclose any of the Confidential Information, the Placement Agent and its Representatives will furnish only that portion of the Confidential Information which the Placement Agent or its Representative, as applicable, is required to disclose by Legal Requirement as advised by counsel, and will use reasonable efforts to obtain reliable assurance that confidential treatment will be accorded the Confidential Information so disclosed.</w:t>
      </w:r>
    </w:p>
    <w:p>
      <w:pPr>
        <w:spacing w:after="0" w:line="19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date of transmission, if such notice or communication is sent to the email address specified on the signature pages attached hereto prior to 6:30 p.m. (New York City time) on a business day, (b) the next business day after the date of transmission, if such notice or communication is sent to the email address on the signature pages attached hereto on a day that is not a business day or later than 6:30 p.m. (New York City time) on any business day, (c) the third business day following the date of mailing, if sent by U.S. internationally recognized air courier service, or (d) upon actual receipt by the party to whom such notice is required to be given. The address for such notices and communications shall be as set forth on the signature pages hereto.</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PRESS ANNOUNCEMENTS</w:t>
      </w:r>
      <w:r>
        <w:rPr>
          <w:rFonts w:ascii="Times New Roman" w:cs="Times New Roman" w:eastAsia="Times New Roman" w:hAnsi="Times New Roman"/>
          <w:sz w:val="18"/>
          <w:szCs w:val="18"/>
          <w:color w:val="auto"/>
        </w:rPr>
        <w:t>. The Company agrees that the Placement Agent shall, from and after any Closing, have the right to reference the Placement and the Placement Agent’s role in connection therewith in the Placement Agent’s marketing materials and on its website and to place advertisements in financial and other newspapers and journals, in each case at its own expense.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has been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ind w:left="660"/>
        <w:spacing w:after="0"/>
        <w:rPr>
          <w:sz w:val="20"/>
          <w:szCs w:val="20"/>
          <w:color w:val="auto"/>
        </w:rPr>
      </w:pPr>
      <w:r>
        <w:rPr>
          <w:rFonts w:ascii="Times New Roman" w:cs="Times New Roman" w:eastAsia="Times New Roman" w:hAnsi="Times New Roman"/>
          <w:sz w:val="17"/>
          <w:szCs w:val="17"/>
          <w:color w:val="auto"/>
        </w:rPr>
        <w:t>Please confirm that the foregoing correctly sets forth our agreement by signing and returning to Univest the enclosed copy of this Agreement.</w:t>
      </w:r>
    </w:p>
    <w:p>
      <w:pPr>
        <w:spacing w:after="0" w:line="23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Edric Yi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Edric Yi Guo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CEO and Head of Investment Banking</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75 Rockefeller Plaza #25A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Attention: Edric Guo</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Email: yguo@univest.us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Zhen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264033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Zhen Fan</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Haoxi Health Technology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Room 801, Tower C, Floor 8, Building 103, Huizhongli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Chaoyang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Mr. Zhen Fan,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fanzhen@haoximedia.com</w:t>
      </w:r>
    </w:p>
    <w:p>
      <w:pPr>
        <w:spacing w:after="0" w:line="200" w:lineRule="exact"/>
        <w:rPr>
          <w:sz w:val="20"/>
          <w:szCs w:val="20"/>
          <w:color w:val="auto"/>
        </w:rPr>
      </w:pPr>
    </w:p>
    <w:p>
      <w:pPr>
        <w:spacing w:after="0" w:line="22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i w:val="1"/>
          <w:iCs w:val="1"/>
          <w:color w:val="auto"/>
        </w:rPr>
        <w:t>[Signature Page to Placement Agency Agreement Between Haoxi Health Technology Limited and Univest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320" w:top="904" w:right="7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ADDENDUM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 PROVISIONS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engagement of Univest Securities, LLC (“Univest” or the “Lead Manager”) or together with other broker dealers registered with FINRA and caused by Univest to also act as a manager in connection with the Placements of the Securities (the “Lead Managers”) to be issued by Haoxi Health Technology Limited (the “Company”) pursuant to the Placement Agency Agreement, dated May 11, 2026, by and between the Company and the Lead Manager(s), as it may be amended from time to time in writing (the “Agreement”), the Company hereby agrees as follows (capitalized terms used herein without definition shall have the meanings ascribed to such terms in the Agreement):</w:t>
      </w:r>
    </w:p>
    <w:p>
      <w:pPr>
        <w:spacing w:after="0" w:line="183" w:lineRule="exact"/>
        <w:rPr>
          <w:sz w:val="20"/>
          <w:szCs w:val="20"/>
          <w:color w:val="auto"/>
        </w:rPr>
      </w:pPr>
    </w:p>
    <w:p>
      <w:pPr>
        <w:jc w:val="both"/>
        <w:ind w:firstLine="1952"/>
        <w:spacing w:after="0" w:line="251" w:lineRule="auto"/>
        <w:tabs>
          <w:tab w:leader="none" w:pos="2142"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Company shall indemnify the Lead Manager(s) and each of their respective affiliates, directors, officers, employees, agents and controlling persons (within the meaning of Section 15 of the Securities Act or Section 20 of the Exchange Act) against all joint or several losses, claims, damages, expenses and liabilities (or actions, including shareholder actions, in respect thereof), as the same are incurred (including the reasonable fees and expenses of counsel), relating to or arising out of its activities hereunder or pursuant to the Agreement, including, without limitation, those which arise out of or are based on (i) any untrue statement or alleged untrue statement of a material fact contained in the Registration Statement (or any amendment thereto), including the information deemed to be a part of the Registration Statement at the time of effectiveness and at any subsequent time pursuant to Rules 430A and 430B of the Securities Act and the rules and regulations thereunder, as applicable, or the omission or alleged omission therefrom of a material fact required to be stated therein or necessary to make the statements therein not misleading, (ii) any untrue statement or alleged untrue statement of a material fact contained in any Prospectus or Prospectus Supplement (or any amendment or supplement to any of the foregoing) or the omission or alleged omission therefrom of a material fact necessary in order to make the statements therein, in the light of the circumstances under which they were made, not misleading, (iii) any untrue statement or alleged untrue statement of a material fact contained in any materials or information provided to investors by, or with the approval of, the Company in connection with the marketing of the offering of the Securities, including any roadshow or investor presentations made to investors by the Company (whether in person or electronically) or the omission or alleged omission therefrom of a material fact necessary in order to make the statements therein, in the light of the circumstances under which they were made, not misleading, or (iv) in whole or in part any inaccuracy in any material respect in the representations and warranties of the Company contained herein or in the Purchase Agreement; provided however, with regard to the Lead Managers, the Company shall not be obligated to indemnify the Lead Manager(s) or such other person or entities under this Section 1 to the extent that any losses, claims, damages, expenses or liabilities (or actions in respect thereof) are found in a final judgment (not subject to appeal) by a court of competent jurisdiction to have resulted primarily and directly from the willful misconduct or gross negligence of the Lead Manager(s) in performing the services described herein, as the case may be. The Company also agrees that no Lead Manager shall have any liability (whether direct or indirect, in contract or tort or otherwise) to the Company or its security holders or creditors related to or arising out of the engagement of the Lead Manager(s) pursuant to, or the performance by the Lead Manager(s) of the services contemplated by, this Agreement except to the extent that any loss, claim, damage or liability is found in a final, non-appealable judgment by a court of competent jurisdiction to have resulted primarily from the willful misconduct or gross negligence of the Lead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both"/>
        <w:ind w:left="-20" w:firstLine="1952"/>
        <w:spacing w:after="0" w:line="254" w:lineRule="auto"/>
        <w:tabs>
          <w:tab w:leader="none" w:pos="210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the Lead Manager(s) of notice of any claim or the commencement of any action or proceeding with respect to which the Lead Manager(s) are entitled to indemnity hereunder, the Lead Manager(s) will notify the Company in writing of such claim or of the commencement of such action or proceeding, and the Company will assume the defense of such action or proceeding and will employ counsel reasonably satisfactory to the Lead Manager(s) and will pay the fees and expenses of such counsel. Notwithstanding the preceding sentence, the Lead Manager(s) will be entitled to employ counsel separate from counsel for the Company and from any other party in such action if counsel for the Lead Manager(s) reasonably determines that it would be inappropriate under the applicable rules of professional responsibility for the same counsel to represent both the Company and the Lead Manager(s). In such event, the reasonable fees and disbursements of no more than one such separate counsel will be paid by the Company. The Company will have the exclusive right to settle the claim or proceeding provided that the Company will not settle any such claim, action or proceeding without the prior written consent of the Lead Manager(s), which will not be unreasonably withheld.</w:t>
      </w:r>
    </w:p>
    <w:p>
      <w:pPr>
        <w:spacing w:after="0" w:line="188" w:lineRule="exact"/>
        <w:rPr>
          <w:rFonts w:ascii="Times New Roman" w:cs="Times New Roman" w:eastAsia="Times New Roman" w:hAnsi="Times New Roman"/>
          <w:sz w:val="18"/>
          <w:szCs w:val="18"/>
          <w:color w:val="auto"/>
        </w:rPr>
      </w:pPr>
    </w:p>
    <w:p>
      <w:pPr>
        <w:ind w:left="-20" w:firstLine="1952"/>
        <w:spacing w:after="0" w:line="282" w:lineRule="auto"/>
        <w:tabs>
          <w:tab w:leader="none" w:pos="2112"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notify the Lead Manager(s) promptly of the assertion against it or any other person of any claim or the commencement of any action or proceeding relating to a transaction contemplated by the Agreement.</w:t>
      </w:r>
    </w:p>
    <w:p>
      <w:pPr>
        <w:spacing w:after="0" w:line="161" w:lineRule="exact"/>
        <w:rPr>
          <w:rFonts w:ascii="Times New Roman" w:cs="Times New Roman" w:eastAsia="Times New Roman" w:hAnsi="Times New Roman"/>
          <w:sz w:val="18"/>
          <w:szCs w:val="18"/>
          <w:color w:val="auto"/>
        </w:rPr>
      </w:pPr>
    </w:p>
    <w:p>
      <w:pPr>
        <w:jc w:val="both"/>
        <w:ind w:left="-20" w:firstLine="1952"/>
        <w:spacing w:after="0" w:line="254" w:lineRule="auto"/>
        <w:tabs>
          <w:tab w:leader="none" w:pos="210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reason the foregoing indemnity is unavailable to the Lead Manager(s) or insufficient to hold such Lead Manager(s) harmless, then the Company shall contribute to the amount paid or payable by the Lead Manager(s), as the case may be, as a result of such losses, claims, damages or liabilities in such proportion as is appropriate to reflect not only the relative benefits received by the Company on the one hand, and the Lead Manager(s) on the other, but also the relative fault of the Company on the one hand and the Lead Manager(s) on the other that resulted in such losses, claims, damages or liabilities, as well as any relevant equitable considerations. The amounts paid or payable by a party in respect of losses, claims, damages and liabilities referred to above shall be deemed to include any legal or other fees and expenses incurred in defending any litigation, proceeding or other action or claim. Notwithstanding the provisions hereof, the share of the liability of the Lead Manager(s) hereunder shall not be in excess of the amount of fees actually received, or to be received, by the Lead Manager(s) under the Agreement (excluding any amounts received as reimbursement of expenses incurred by the Lead Manager(s) t).</w:t>
      </w:r>
    </w:p>
    <w:p>
      <w:pPr>
        <w:spacing w:after="0" w:line="188" w:lineRule="exact"/>
        <w:rPr>
          <w:rFonts w:ascii="Times New Roman" w:cs="Times New Roman" w:eastAsia="Times New Roman" w:hAnsi="Times New Roman"/>
          <w:sz w:val="18"/>
          <w:szCs w:val="18"/>
          <w:color w:val="auto"/>
        </w:rPr>
      </w:pPr>
    </w:p>
    <w:p>
      <w:pPr>
        <w:jc w:val="both"/>
        <w:ind w:left="-20" w:right="20" w:firstLine="1952"/>
        <w:spacing w:after="0" w:line="266" w:lineRule="auto"/>
        <w:tabs>
          <w:tab w:leader="none" w:pos="211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Indemnification Provisions shall remain in full force and effect whether or not the transactions contemplated by the Agreement are completed and shall survive the termination of the Agreement, and shall be in addition to any liability that the Company might otherwise have to any indemnified party under the Agreement or otherwise.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has been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447040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66" w:name="page67"/>
    <w:bookmarkEnd w:id="66"/>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2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Edric Yi Guo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18415</wp:posOffset>
            </wp:positionV>
            <wp:extent cx="263144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18"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Edric Yi Guo</w:t>
      </w:r>
    </w:p>
    <w:p>
      <w:pPr>
        <w:spacing w:after="0" w:line="27" w:lineRule="exact"/>
        <w:rPr>
          <w:sz w:val="20"/>
          <w:szCs w:val="20"/>
          <w:color w:val="auto"/>
        </w:rPr>
      </w:pPr>
    </w:p>
    <w:p>
      <w:pPr>
        <w:ind w:left="7100"/>
        <w:spacing w:after="0"/>
        <w:tabs>
          <w:tab w:leader="none" w:pos="7620" w:val="left"/>
        </w:tabs>
        <w:rPr>
          <w:sz w:val="20"/>
          <w:szCs w:val="20"/>
          <w:color w:val="auto"/>
        </w:rPr>
      </w:pPr>
      <w:r>
        <w:rPr>
          <w:rFonts w:ascii="Times New Roman" w:cs="Times New Roman" w:eastAsia="Times New Roman" w:hAnsi="Times New Roman"/>
          <w:sz w:val="18"/>
          <w:szCs w:val="18"/>
          <w:color w:val="auto"/>
        </w:rPr>
        <w:t>Title:</w:t>
        <w:tab/>
        <w:t>CEO and Head of Investment Banking</w:t>
      </w:r>
    </w:p>
    <w:p>
      <w:pPr>
        <w:spacing w:after="0" w:line="2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75 Rockefeller Plaza #25A</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Attention: Edric Guo</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Email: yguo@univest.us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and Agreed to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HAOXI HEALTH TECHNOLOGY LIMITED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Zhen Fan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18415</wp:posOffset>
            </wp:positionV>
            <wp:extent cx="264033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40330" cy="17145"/>
                    </a:xfrm>
                    <a:prstGeom prst="rect">
                      <a:avLst/>
                    </a:prstGeom>
                    <a:noFill/>
                  </pic:spPr>
                </pic:pic>
              </a:graphicData>
            </a:graphic>
          </wp:anchor>
        </w:drawing>
      </w:r>
    </w:p>
    <w:p>
      <w:pPr>
        <w:spacing w:after="0" w:line="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Name: Zhen Fan</w:t>
      </w:r>
    </w:p>
    <w:p>
      <w:pPr>
        <w:spacing w:after="0" w:line="27" w:lineRule="exact"/>
        <w:rPr>
          <w:sz w:val="20"/>
          <w:szCs w:val="20"/>
          <w:color w:val="auto"/>
        </w:rPr>
      </w:pPr>
    </w:p>
    <w:p>
      <w:pPr>
        <w:ind w:left="340"/>
        <w:spacing w:after="0"/>
        <w:tabs>
          <w:tab w:leader="none" w:pos="90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Address for 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Haoxi Health Technology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Room 801, Tower C, Floor 8, Building 103, Huizhongli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Chaoyang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Mr. Zhen Fan,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fanzhen@haoximedia.com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40"/>
          </w:cols>
          <w:pgMar w:left="320" w:top="904" w:right="1139" w:bottom="1440" w:gutter="0" w:footer="0" w:header="0"/>
        </w:sectPr>
      </w:pPr>
    </w:p>
    <w:bookmarkStart w:id="67" w:name="page68"/>
    <w:bookmarkEnd w:id="67"/>
    <w:p>
      <w:pPr>
        <w:ind w:left="10320"/>
        <w:spacing w:after="0"/>
        <w:rPr>
          <w:sz w:val="20"/>
          <w:szCs w:val="20"/>
          <w:color w:val="auto"/>
        </w:rPr>
      </w:pPr>
      <w:r>
        <w:rPr>
          <w:rFonts w:ascii="Times New Roman" w:cs="Times New Roman" w:eastAsia="Times New Roman" w:hAnsi="Times New Roman"/>
          <w:sz w:val="17"/>
          <w:szCs w:val="17"/>
          <w:b w:val="1"/>
          <w:bCs w:val="1"/>
          <w:color w:val="auto"/>
        </w:rPr>
        <w:t>Exhibit 10.3</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2026</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Re: Securities Purchase Agreement, dated as of May 11, 2026 (the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between Haoxi Health Technology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the purchasers signatory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Defined terms not otherwise defined in this letter agreement (the “</w:t>
      </w:r>
      <w:r>
        <w:rPr>
          <w:rFonts w:ascii="Times New Roman" w:cs="Times New Roman" w:eastAsia="Times New Roman" w:hAnsi="Times New Roman"/>
          <w:sz w:val="18"/>
          <w:szCs w:val="18"/>
          <w:u w:val="single" w:color="auto"/>
          <w:color w:val="auto"/>
        </w:rPr>
        <w:t>Letter Agreement</w:t>
      </w:r>
      <w:r>
        <w:rPr>
          <w:rFonts w:ascii="Times New Roman" w:cs="Times New Roman" w:eastAsia="Times New Roman" w:hAnsi="Times New Roman"/>
          <w:sz w:val="18"/>
          <w:szCs w:val="18"/>
          <w:color w:val="auto"/>
        </w:rPr>
        <w:t>”) shall have the meanings set forth in the Purchase Agreement. The undersigned irrevocably agrees with Univest Securities, LLC (“</w:t>
      </w:r>
      <w:r>
        <w:rPr>
          <w:rFonts w:ascii="Times New Roman" w:cs="Times New Roman" w:eastAsia="Times New Roman" w:hAnsi="Times New Roman"/>
          <w:sz w:val="18"/>
          <w:szCs w:val="18"/>
          <w:u w:val="single" w:color="auto"/>
          <w:color w:val="auto"/>
        </w:rPr>
        <w:t>Univest</w:t>
      </w:r>
      <w:r>
        <w:rPr>
          <w:rFonts w:ascii="Times New Roman" w:cs="Times New Roman" w:eastAsia="Times New Roman" w:hAnsi="Times New Roman"/>
          <w:sz w:val="18"/>
          <w:szCs w:val="18"/>
          <w:color w:val="auto"/>
        </w:rPr>
        <w:t>”) that, from the date hereof until 90 days from the Closing Date (as defined in the Purchase Agreement (such period, the “</w:t>
      </w:r>
      <w:r>
        <w:rPr>
          <w:rFonts w:ascii="Times New Roman" w:cs="Times New Roman" w:eastAsia="Times New Roman" w:hAnsi="Times New Roman"/>
          <w:sz w:val="18"/>
          <w:szCs w:val="18"/>
          <w:u w:val="single" w:color="auto"/>
          <w:color w:val="auto"/>
        </w:rPr>
        <w:t>Restriction Period</w:t>
      </w:r>
      <w:r>
        <w:rPr>
          <w:rFonts w:ascii="Times New Roman" w:cs="Times New Roman" w:eastAsia="Times New Roman" w:hAnsi="Times New Roman"/>
          <w:sz w:val="18"/>
          <w:szCs w:val="18"/>
          <w:color w:val="auto"/>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or any person in privity with the undersigned or any Affiliate of the undersigned), directly or indirectly, or establish or increase a put equivalent position or liquidate or decrease a call equivalent position within the meaning of Section 16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with respect to, any Ordinary Share of the Company or securities convertible, exchangeable or exercisable into, Ordinary Share of the Company beneficially owned, held or hereafter acquired by the undersigned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or make any demand for or exercise any right or cause to be filed a registration statement, including any amendments thereto, with respect to the registration of any Ordinary Share or Ordinary Share Equivalents or publicly disclose the intention to do any of the foregoing. Beneficial ownership shall be calculated in accordance with Section 13(d) of the Exchange Act.</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foregoing, and subject to the conditions below, the undersigned may transfer the Securities provided that (1) in the case of clauses (i), (ii), iii), (iv), (v), (vi) and (vii) below, Univest receives a signed lock-up letter agreement (in the form of this Letter Agreement) for the balance of the Restriction Period from each donee, trustee, distributee, or transferee, as the case may be, prior to such transfer, and (2) in the case of clauses (i), (ii), iii), (iv), (v), (vi) and (vii) below, any such transfer shall not involve a disposition for value, with respect to a transfer:</w:t>
      </w:r>
    </w:p>
    <w:p>
      <w:pPr>
        <w:spacing w:after="0" w:line="178" w:lineRule="exact"/>
        <w:rPr>
          <w:sz w:val="20"/>
          <w:szCs w:val="20"/>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gift or gifts, charitable contribution or for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estate planning purposes;</w:t>
      </w:r>
    </w:p>
    <w:p>
      <w:pPr>
        <w:spacing w:after="0" w:line="22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corporation, partnership, limited liability company, or other business entity all of the equity holders of which consist of the undersigned and/or the immediate family of the undersigned;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undersigned is a trust, to the beneficiary of such trust;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will, other testamentary document or intestate succession to the legal representative, heir, beneficiary or a member of the immediate family of the undersigned;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operation of law, such as pursuant to a qualified domestic order or in connection with a divorce decree;</w:t>
      </w:r>
    </w:p>
    <w:p>
      <w:pPr>
        <w:spacing w:after="0" w:line="22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third-party tender offer, merger, consolidation or other similar transaction that is approved by the Board of Directors of the Company and made to all holders of the Company’s capital stock the result of which is that any “person” (as defined in Section 13(d)(3) of the Exchange Act), or group of persons, becomes the beneficial owner (as defined in Rules 13d-3 and 13d-5 of the Exchange Act) of more than 50% of total voting power of the voting stock of the Company or the surviving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8" w:name="page69"/>
    <w:bookmarkEnd w:id="68"/>
    <w:p>
      <w:pPr>
        <w:jc w:val="both"/>
        <w:ind w:left="660" w:hanging="328"/>
        <w:spacing w:after="0" w:line="254"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transaction exempt from Section 16(b) of the Exchange Act upon a vesting event of the Securities or upon the exercise of options or warrants to purchase Ordinary Shares, including on a “cashless” or “net exercise” basis or otherwise to cover tax withholding obligations of the undersigned in connection with such vesting or exercise, including a sale in the open market of any securities relating to such options or warrants to cover the applicable aggregate exercise price, withholding tax obligations or otherwise; provided that any filing under Section 16(a) of the Exchange Act in connection with such transfer shall indicate, to the extent permitted by such Section and the related rules and regulations, the reason for such disposition and that such transfer of Securities was solely to cover tax withholding obligations of the undersigned or pursuant to a “cashless” or “net exercise” by the undersigned in connection with such vesting or exercise, and provided, further that any Securities issued upon such exercise shall be subject to the restrictions set forth in this Letter Agreement;</w:t>
      </w:r>
    </w:p>
    <w:p>
      <w:pPr>
        <w:spacing w:after="0" w:line="19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Company in connection with the termination of employment or other termination of a service provider whereby the Company has the option, pursuant to an agreement in force on the date hereof, to repurchase such shares or securities;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by the undersigned in open market transactions after the date of the Purchase Agreement, provided that no filing under Section 16(a) of the Exchange Act shall be required or shall be made voluntarily in connection with subsequent sales of Securities acquired in such open market transactions.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notwithstanding the foregoing, this Letter Agreement shall not restrict the delivery of Ordinary Shares to the undersigned upon (i) exercise of any options or settlement of other equity awards granted under any employee benefit plan of the Company; provided that any Ordinary Shares or Securities acquired in connection with any such exercise will be subject to the restrictions set forth in this Letter Agreement, or (ii) the exercise of warrants; provided that such Ordinary Shares delivered to the undersigned in connection with such exercise are subject to the restrictions set forth in this Letter Agreement, nor shall this Letter Agreement restrict the disposition of such options, equity awards, warrants or similar instruments effected in connection with such exercise or settlement.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Ordinary Share are made pursuant to such plan during the Restriction Period.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undersigned acknowledges that the execution, delivery and performance of this Letter Agreement is a material inducement to Univest and the Company to complete the transactions contemplated by the Purchase Agreement and Univest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Purchase Agreement.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Letter Agreement may not be amended or otherwise modified in any respect without the written consent of Univest and the undersigned. This Letter Agreement shall be construed and enforced in accordance with the laws of the State of New York without regard to the principles of conflict of laws. The undersigned hereby irrevocably submits to the exclusive jurisdiction of the United States District Court sitting in the Southern District of New York and the courts of the State of New York located in Manhattan, for the purposes of any suit, action or proceeding arising out of or relating to this Letter Agreement, and hereby waives, and agrees not to assert in any such suit, action or proceeding, any claim that (i) it is not personally subject to the jurisdiction of such court, (ii) the suit, action or proceeding is brought in an inconvenient forum, or (iii) the venue of the suit, action or proceeding is improper. The undersigned hereby irrevocably waives personal service of process and consents to process being served in any such suit, action or proceeding by receiving a copy thereof sent to the Company at the address in effect for notices to it under the Purchase Agreement and agrees that such service shall constitute good and sufficient service of process and notice thereof. The undersigned hereby waives any right to a trial by jury. Nothing contained herein shall be deemed to limit in any way any right to serve process in any manner permitted by law.</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Letter Agreement shall be binding on successors and assigns of the undersigned with respect to the Securities and any such successor or assign shall enter into a similar agreement for the benefit of Univest. This Letter Agreement is intended for the benefit of the parties hereto and their respective successors and permitted assigns and is not for the benefit of, nor may any provisions hereof be enforced by, any of other Person.</w:t>
      </w:r>
    </w:p>
    <w:p>
      <w:pPr>
        <w:spacing w:after="0" w:line="176" w:lineRule="exact"/>
        <w:rPr>
          <w:sz w:val="20"/>
          <w:szCs w:val="20"/>
          <w:color w:val="auto"/>
        </w:rPr>
      </w:pPr>
    </w:p>
    <w:p>
      <w:pPr>
        <w:ind w:left="5580" w:right="4120" w:hanging="1445"/>
        <w:spacing w:after="0" w:line="783" w:lineRule="auto"/>
        <w:tabs>
          <w:tab w:leader="none" w:pos="4451"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 PAGE FOLLOWS***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This Letter Agreement may be executed in two or more counterparts, all of which when taken together may be considered one and the same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285432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28543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28543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in Company, if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285432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5432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285432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signing below, Univest agrees to enforce the restrictions on transfer set forth in this Letter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Univest Securities,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904"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0BADFC"/>
    <w:multiLevelType w:val="hybridMultilevel"/>
    <w:lvl w:ilvl="0">
      <w:lvlJc w:val="left"/>
      <w:lvlText w:val="%1)"/>
      <w:numFmt w:val="lowerLetter"/>
      <w:start w:val="1"/>
    </w:lvl>
  </w:abstractNum>
  <w:abstractNum w:abstractNumId="1">
    <w:nsid w:val="5072367"/>
    <w:multiLevelType w:val="hybridMultilevel"/>
    <w:lvl w:ilvl="0">
      <w:lvlJc w:val="left"/>
      <w:lvlText w:val="%1"/>
      <w:numFmt w:val="upperLetter"/>
      <w:start w:val="1"/>
    </w:lvl>
    <w:lvl w:ilvl="1">
      <w:lvlJc w:val="left"/>
      <w:lvlText w:val="%2)"/>
      <w:numFmt w:val="lowerLetter"/>
      <w:start w:val="3"/>
    </w:lvl>
  </w:abstractNum>
  <w:abstractNum w:abstractNumId="2">
    <w:nsid w:val="3804823E"/>
    <w:multiLevelType w:val="hybridMultilevel"/>
    <w:lvl w:ilvl="0">
      <w:lvlJc w:val="left"/>
      <w:lvlText w:val="(%1)"/>
      <w:numFmt w:val="upperLetter"/>
      <w:start w:val="1"/>
    </w:lvl>
    <w:lvl w:ilvl="1">
      <w:lvlJc w:val="left"/>
      <w:lvlText w:val="%2"/>
      <w:numFmt w:val="lowerLetter"/>
      <w:start w:val="1"/>
    </w:lvl>
  </w:abstractNum>
  <w:abstractNum w:abstractNumId="3">
    <w:nsid w:val="77465F01"/>
    <w:multiLevelType w:val="hybridMultilevel"/>
    <w:lvl w:ilvl="0">
      <w:lvlJc w:val="left"/>
      <w:lvlText w:val="(%1)"/>
      <w:numFmt w:val="upperLetter"/>
      <w:start w:val="24"/>
    </w:lvl>
  </w:abstractNum>
  <w:abstractNum w:abstractNumId="4">
    <w:nsid w:val="7724C67E"/>
    <w:multiLevelType w:val="hybridMultilevel"/>
    <w:lvl w:ilvl="0">
      <w:lvlJc w:val="left"/>
      <w:lvlText w:val="%1)"/>
      <w:numFmt w:val="lowerLetter"/>
      <w:start w:val="4"/>
    </w:lvl>
    <w:lvl w:ilvl="1">
      <w:lvlJc w:val="left"/>
      <w:lvlText w:val="%2."/>
      <w:numFmt w:val="lowerRoman"/>
      <w:start w:val="1"/>
    </w:lvl>
  </w:abstractNum>
  <w:abstractNum w:abstractNumId="5">
    <w:nsid w:val="5C482A97"/>
    <w:multiLevelType w:val="hybridMultilevel"/>
    <w:lvl w:ilvl="0">
      <w:lvlJc w:val="left"/>
      <w:lvlText w:val="%1."/>
      <w:numFmt w:val="lowerRoman"/>
      <w:start w:val="3"/>
    </w:lvl>
  </w:abstractNum>
  <w:abstractNum w:abstractNumId="6">
    <w:nsid w:val="2463B9EA"/>
    <w:multiLevelType w:val="hybridMultilevel"/>
    <w:lvl w:ilvl="0">
      <w:lvlJc w:val="left"/>
      <w:lvlText w:val="%1"/>
      <w:numFmt w:val="lowerLetter"/>
      <w:start w:val="1"/>
    </w:lvl>
    <w:lvl w:ilvl="1">
      <w:lvlJc w:val="left"/>
      <w:lvlText w:val="%2."/>
      <w:numFmt w:val="lowerRoman"/>
      <w:start w:val="7"/>
    </w:lvl>
  </w:abstractNum>
  <w:abstractNum w:abstractNumId="7">
    <w:nsid w:val="5E884ADC"/>
    <w:multiLevelType w:val="hybridMultilevel"/>
    <w:lvl w:ilvl="0">
      <w:lvlJc w:val="left"/>
      <w:lvlText w:val="%1)"/>
      <w:numFmt w:val="lowerLetter"/>
      <w:start w:val="5"/>
    </w:lvl>
    <w:lvl w:ilvl="1">
      <w:lvlJc w:val="left"/>
      <w:lvlText w:val="%2"/>
      <w:numFmt w:val="lowerRoman"/>
      <w:start w:val="1"/>
    </w:lvl>
  </w:abstractNum>
  <w:abstractNum w:abstractNumId="8">
    <w:nsid w:val="51EAD36B"/>
    <w:multiLevelType w:val="hybridMultilevel"/>
    <w:lvl w:ilvl="0">
      <w:lvlJc w:val="left"/>
      <w:lvlText w:val="%1)"/>
      <w:numFmt w:val="lowerLetter"/>
      <w:start w:val="1"/>
    </w:lvl>
  </w:abstractNum>
  <w:abstractNum w:abstractNumId="9">
    <w:nsid w:val="2D517796"/>
    <w:multiLevelType w:val="hybridMultilevel"/>
    <w:lvl w:ilvl="0">
      <w:lvlJc w:val="left"/>
      <w:lvlText w:val="%1)"/>
      <w:numFmt w:val="lowerLetter"/>
      <w:start w:val="5"/>
    </w:lvl>
  </w:abstractNum>
  <w:abstractNum w:abstractNumId="10">
    <w:nsid w:val="580BD78F"/>
    <w:multiLevelType w:val="hybridMultilevel"/>
    <w:lvl w:ilvl="0">
      <w:lvlJc w:val="left"/>
      <w:lvlText w:val="%1)"/>
      <w:numFmt w:val="lowerLetter"/>
      <w:start w:val="6"/>
    </w:lvl>
    <w:lvl w:ilvl="1">
      <w:lvlJc w:val="left"/>
      <w:lvlText w:val="%2."/>
      <w:numFmt w:val="lowerRoman"/>
      <w:start w:val="1"/>
    </w:lvl>
  </w:abstractNum>
  <w:abstractNum w:abstractNumId="11">
    <w:nsid w:val="153EA438"/>
    <w:multiLevelType w:val="hybridMultilevel"/>
    <w:lvl w:ilvl="0">
      <w:lvlJc w:val="left"/>
      <w:lvlText w:val="%1)"/>
      <w:numFmt w:val="lowerLetter"/>
      <w:start w:val="1"/>
    </w:lvl>
  </w:abstractNum>
  <w:abstractNum w:abstractNumId="12">
    <w:nsid w:val="3855585C"/>
    <w:multiLevelType w:val="hybridMultilevel"/>
    <w:lvl w:ilvl="0">
      <w:lvlJc w:val="left"/>
      <w:lvlText w:val="%1)"/>
      <w:numFmt w:val="lowerLetter"/>
      <w:start w:val="1"/>
    </w:lvl>
  </w:abstractNum>
  <w:abstractNum w:abstractNumId="13">
    <w:nsid w:val="70A64E2A"/>
    <w:multiLevelType w:val="hybridMultilevel"/>
    <w:lvl w:ilvl="0">
      <w:lvlJc w:val="left"/>
      <w:lvlText w:val="%1)"/>
      <w:numFmt w:val="lowerLetter"/>
      <w:start w:val="4"/>
    </w:lvl>
  </w:abstractNum>
  <w:abstractNum w:abstractNumId="14">
    <w:nsid w:val="6A2342EC"/>
    <w:multiLevelType w:val="hybridMultilevel"/>
    <w:lvl w:ilvl="0">
      <w:lvlJc w:val="left"/>
      <w:lvlText w:val="%1)"/>
      <w:numFmt w:val="lowerLetter"/>
      <w:start w:val="5"/>
    </w:lvl>
  </w:abstractNum>
  <w:abstractNum w:abstractNumId="15">
    <w:nsid w:val="2A487CB0"/>
    <w:multiLevelType w:val="hybridMultilevel"/>
    <w:lvl w:ilvl="0">
      <w:lvlJc w:val="left"/>
      <w:lvlText w:val="%1"/>
      <w:numFmt w:val="lowerRoman"/>
      <w:start w:val="1"/>
    </w:lvl>
    <w:lvl w:ilvl="1">
      <w:lvlJc w:val="left"/>
      <w:lvlText w:val="%2)"/>
      <w:numFmt w:val="lowerLetter"/>
      <w:start w:val="7"/>
    </w:lvl>
  </w:abstractNum>
  <w:abstractNum w:abstractNumId="16">
    <w:nsid w:val="1D4ED43B"/>
    <w:multiLevelType w:val="hybridMultilevel"/>
    <w:lvl w:ilvl="0">
      <w:lvlJc w:val="left"/>
      <w:lvlText w:val="(%1)"/>
      <w:numFmt w:val="lowerRoman"/>
      <w:start w:val="4"/>
    </w:lvl>
    <w:lvl w:ilvl="1">
      <w:lvlJc w:val="left"/>
      <w:lvlText w:val="%2)"/>
      <w:numFmt w:val="lowerLetter"/>
      <w:start w:val="9"/>
    </w:lvl>
  </w:abstractNum>
  <w:abstractNum w:abstractNumId="17">
    <w:nsid w:val="725A06FB"/>
    <w:multiLevelType w:val="hybridMultilevel"/>
    <w:lvl w:ilvl="0">
      <w:lvlJc w:val="left"/>
      <w:lvlText w:val="(%1)"/>
      <w:numFmt w:val="decimal"/>
      <w:start w:val="1"/>
    </w:lvl>
    <w:lvl w:ilvl="1">
      <w:lvlJc w:val="left"/>
      <w:lvlText w:val="☐"/>
      <w:numFmt w:val="bullet"/>
      <w:start w:val="1"/>
    </w:lvl>
  </w:abstractNum>
  <w:abstractNum w:abstractNumId="18">
    <w:nsid w:val="2CD89A32"/>
    <w:multiLevelType w:val="hybridMultilevel"/>
    <w:lvl w:ilvl="0">
      <w:lvlJc w:val="left"/>
      <w:lvlText w:val="1"/>
      <w:numFmt w:val="bullet"/>
      <w:start w:val="1"/>
    </w:lvl>
    <w:lvl w:ilvl="1">
      <w:lvlJc w:val="left"/>
      <w:lvlText w:val="(%2)"/>
      <w:numFmt w:val="lowerLetter"/>
      <w:start w:val="1"/>
    </w:lvl>
  </w:abstractNum>
  <w:abstractNum w:abstractNumId="19">
    <w:nsid w:val="57E4CCAF"/>
    <w:multiLevelType w:val="hybridMultilevel"/>
    <w:lvl w:ilvl="0">
      <w:lvlJc w:val="left"/>
      <w:lvlText w:val="(%1)"/>
      <w:numFmt w:val="lowerLetter"/>
      <w:start w:val="2"/>
    </w:lvl>
  </w:abstractNum>
  <w:abstractNum w:abstractNumId="20">
    <w:nsid w:val="7A6D8D3C"/>
    <w:multiLevelType w:val="hybridMultilevel"/>
    <w:lvl w:ilvl="0">
      <w:lvlJc w:val="left"/>
      <w:lvlText w:val="2"/>
      <w:numFmt w:val="bullet"/>
      <w:start w:val="1"/>
    </w:lvl>
    <w:lvl w:ilvl="1">
      <w:lvlJc w:val="left"/>
      <w:lvlText w:val="(%2)"/>
      <w:numFmt w:val="lowerLetter"/>
      <w:start w:val="1"/>
    </w:lvl>
  </w:abstractNum>
  <w:abstractNum w:abstractNumId="21">
    <w:nsid w:val="4B588F54"/>
    <w:multiLevelType w:val="hybridMultilevel"/>
    <w:lvl w:ilvl="0">
      <w:lvlJc w:val="left"/>
      <w:lvlText w:val="(%1)"/>
      <w:numFmt w:val="lowerLetter"/>
      <w:start w:val="5"/>
    </w:lvl>
  </w:abstractNum>
  <w:abstractNum w:abstractNumId="22">
    <w:nsid w:val="542289EC"/>
    <w:multiLevelType w:val="hybridMultilevel"/>
    <w:lvl w:ilvl="0">
      <w:lvlJc w:val="left"/>
      <w:lvlText w:val="(%1)"/>
      <w:numFmt w:val="lowerLetter"/>
      <w:start w:val="1"/>
    </w:lvl>
  </w:abstractNum>
  <w:abstractNum w:abstractNumId="23">
    <w:nsid w:val="6DE91B18"/>
    <w:multiLevelType w:val="hybridMultilevel"/>
    <w:lvl w:ilvl="0">
      <w:lvlJc w:val="left"/>
      <w:lvlText w:val="(%1)"/>
      <w:numFmt w:val="lowerLetter"/>
      <w:start w:val="6"/>
    </w:lvl>
  </w:abstractNum>
  <w:abstractNum w:abstractNumId="24">
    <w:nsid w:val="38437FDB"/>
    <w:multiLevelType w:val="hybridMultilevel"/>
    <w:lvl w:ilvl="0">
      <w:lvlJc w:val="left"/>
      <w:lvlText w:val="3"/>
      <w:numFmt w:val="bullet"/>
      <w:start w:val="1"/>
    </w:lvl>
  </w:abstractNum>
  <w:abstractNum w:abstractNumId="25">
    <w:nsid w:val="7644A45C"/>
    <w:multiLevelType w:val="hybridMultilevel"/>
    <w:lvl w:ilvl="0">
      <w:lvlJc w:val="left"/>
      <w:lvlText w:val="(%1)"/>
      <w:numFmt w:val="lowerLetter"/>
      <w:start w:val="1"/>
    </w:lvl>
  </w:abstractNum>
  <w:abstractNum w:abstractNumId="26">
    <w:nsid w:val="32FFF902"/>
    <w:multiLevelType w:val="hybridMultilevel"/>
    <w:lvl w:ilvl="0">
      <w:lvlJc w:val="left"/>
      <w:lvlText w:val="(%1)"/>
      <w:numFmt w:val="lowerLetter"/>
      <w:start w:val="2"/>
    </w:lvl>
  </w:abstractNum>
  <w:abstractNum w:abstractNumId="27">
    <w:nsid w:val="684A481A"/>
    <w:multiLevelType w:val="hybridMultilevel"/>
    <w:lvl w:ilvl="0">
      <w:lvlJc w:val="left"/>
      <w:lvlText w:val="(%1)"/>
      <w:numFmt w:val="lowerLetter"/>
      <w:start w:val="3"/>
    </w:lvl>
    <w:lvl w:ilvl="1">
      <w:lvlJc w:val="left"/>
      <w:lvlText w:val="(%2)"/>
      <w:numFmt w:val="lowerRoman"/>
      <w:start w:val="1"/>
    </w:lvl>
  </w:abstractNum>
  <w:abstractNum w:abstractNumId="28">
    <w:nsid w:val="579478FE"/>
    <w:multiLevelType w:val="hybridMultilevel"/>
    <w:lvl w:ilvl="0">
      <w:lvlJc w:val="left"/>
      <w:lvlText w:val="(%1)"/>
      <w:numFmt w:val="lowerLetter"/>
      <w:start w:val="4"/>
    </w:lvl>
    <w:lvl w:ilvl="1">
      <w:lvlJc w:val="left"/>
      <w:lvlText w:val="(%2)"/>
      <w:numFmt w:val="lowerRoman"/>
      <w:start w:val="1"/>
    </w:lvl>
  </w:abstractNum>
  <w:abstractNum w:abstractNumId="29">
    <w:nsid w:val="749ABB43"/>
    <w:multiLevelType w:val="hybridMultilevel"/>
    <w:lvl w:ilvl="0">
      <w:lvlJc w:val="left"/>
      <w:lvlText w:val="4"/>
      <w:numFmt w:val="bullet"/>
      <w:start w:val="1"/>
    </w:lvl>
  </w:abstractNum>
  <w:abstractNum w:abstractNumId="30">
    <w:nsid w:val="3DC240FB"/>
    <w:multiLevelType w:val="hybridMultilevel"/>
    <w:lvl w:ilvl="0">
      <w:lvlJc w:val="left"/>
      <w:lvlText w:val="(%1)"/>
      <w:numFmt w:val="lowerLetter"/>
      <w:start w:val="1"/>
    </w:lvl>
  </w:abstractNum>
  <w:abstractNum w:abstractNumId="31">
    <w:nsid w:val="1BA026FA"/>
    <w:multiLevelType w:val="hybridMultilevel"/>
    <w:lvl w:ilvl="0">
      <w:lvlJc w:val="left"/>
      <w:lvlText w:val="(%1)"/>
      <w:numFmt w:val="lowerLetter"/>
      <w:start w:val="2"/>
    </w:lvl>
  </w:abstractNum>
  <w:abstractNum w:abstractNumId="32">
    <w:nsid w:val="79A1DEAA"/>
    <w:multiLevelType w:val="hybridMultilevel"/>
    <w:lvl w:ilvl="0">
      <w:lvlJc w:val="left"/>
      <w:lvlText w:val="5"/>
      <w:numFmt w:val="bullet"/>
      <w:start w:val="1"/>
    </w:lvl>
  </w:abstractNum>
  <w:abstractNum w:abstractNumId="33">
    <w:nsid w:val="75C6C33A"/>
    <w:multiLevelType w:val="hybridMultilevel"/>
    <w:lvl w:ilvl="0">
      <w:lvlJc w:val="left"/>
      <w:lvlText w:val="(%1)"/>
      <w:numFmt w:val="lowerLetter"/>
      <w:start w:val="1"/>
    </w:lvl>
  </w:abstractNum>
  <w:abstractNum w:abstractNumId="34">
    <w:nsid w:val="12E685FB"/>
    <w:multiLevelType w:val="hybridMultilevel"/>
    <w:lvl w:ilvl="0">
      <w:lvlJc w:val="left"/>
      <w:lvlText w:val="6"/>
      <w:numFmt w:val="bullet"/>
      <w:start w:val="1"/>
    </w:lvl>
  </w:abstractNum>
  <w:abstractNum w:abstractNumId="35">
    <w:nsid w:val="70C6A529"/>
    <w:multiLevelType w:val="hybridMultilevel"/>
    <w:lvl w:ilvl="0">
      <w:lvlJc w:val="left"/>
      <w:lvlText w:val="(%1)"/>
      <w:numFmt w:val="lowerLetter"/>
      <w:start w:val="1"/>
    </w:lvl>
    <w:lvl w:ilvl="1">
      <w:lvlJc w:val="left"/>
      <w:lvlText w:val="(%2)"/>
      <w:numFmt w:val="lowerRoman"/>
      <w:start w:val="1"/>
    </w:lvl>
  </w:abstractNum>
  <w:abstractNum w:abstractNumId="36">
    <w:nsid w:val="520EEDD1"/>
    <w:multiLevelType w:val="hybridMultilevel"/>
    <w:lvl w:ilvl="0">
      <w:lvlJc w:val="left"/>
      <w:lvlText w:val="(%1)"/>
      <w:numFmt w:val="lowerLetter"/>
      <w:start w:val="1"/>
    </w:lvl>
    <w:lvl w:ilvl="1">
      <w:lvlJc w:val="left"/>
      <w:lvlText w:val="(%2)"/>
      <w:numFmt w:val="lowerRoman"/>
      <w:start w:val="1"/>
    </w:lvl>
  </w:abstractNum>
  <w:abstractNum w:abstractNumId="37">
    <w:nsid w:val="374A3FE6"/>
    <w:multiLevelType w:val="hybridMultilevel"/>
    <w:lvl w:ilvl="0">
      <w:lvlJc w:val="left"/>
      <w:lvlText w:val="(%1)"/>
      <w:numFmt w:val="lowerRoman"/>
      <w:start w:val="1"/>
    </w:lvl>
  </w:abstractNum>
  <w:abstractNum w:abstractNumId="38">
    <w:nsid w:val="4F4EF005"/>
    <w:multiLevelType w:val="hybridMultilevel"/>
    <w:lvl w:ilvl="0">
      <w:lvlJc w:val="left"/>
      <w:lvlText w:val="(%1)"/>
      <w:numFmt w:val="lowerLetter"/>
      <w:start w:val="1"/>
    </w:lvl>
  </w:abstractNum>
  <w:abstractNum w:abstractNumId="39">
    <w:nsid w:val="23F9C13C"/>
    <w:multiLevelType w:val="hybridMultilevel"/>
    <w:lvl w:ilvl="0">
      <w:lvlJc w:val="left"/>
      <w:lvlText w:val="(%1)"/>
      <w:numFmt w:val="lowerLetter"/>
      <w:start w:val="2"/>
    </w:lvl>
  </w:abstractNum>
  <w:abstractNum w:abstractNumId="40">
    <w:nsid w:val="649BB77C"/>
    <w:multiLevelType w:val="hybridMultilevel"/>
    <w:lvl w:ilvl="0">
      <w:lvlJc w:val="left"/>
      <w:lvlText w:val="(%1)"/>
      <w:numFmt w:val="lowerLetter"/>
      <w:start w:val="6"/>
    </w:lvl>
  </w:abstractNum>
  <w:abstractNum w:abstractNumId="41">
    <w:nsid w:val="275AC794"/>
    <w:multiLevelType w:val="hybridMultilevel"/>
    <w:lvl w:ilvl="0">
      <w:lvlJc w:val="left"/>
      <w:lvlText w:val="(%1)"/>
      <w:numFmt w:val="lowerLetter"/>
      <w:start w:val="8"/>
    </w:lvl>
  </w:abstractNum>
  <w:abstractNum w:abstractNumId="42">
    <w:nsid w:val="39386575"/>
    <w:multiLevelType w:val="hybridMultilevel"/>
    <w:lvl w:ilvl="0">
      <w:lvlJc w:val="left"/>
      <w:lvlText w:val="(%1)"/>
      <w:numFmt w:val="lowerLetter"/>
      <w:start w:val="11"/>
    </w:lvl>
  </w:abstractNum>
  <w:abstractNum w:abstractNumId="43">
    <w:nsid w:val="1CF10FD8"/>
    <w:multiLevelType w:val="hybridMultilevel"/>
    <w:lvl w:ilvl="0">
      <w:lvlJc w:val="left"/>
      <w:lvlText w:val="(%1)"/>
      <w:numFmt w:val="lowerLetter"/>
      <w:start w:val="17"/>
    </w:lvl>
  </w:abstractNum>
  <w:abstractNum w:abstractNumId="44">
    <w:nsid w:val="180115BE"/>
    <w:multiLevelType w:val="hybridMultilevel"/>
    <w:lvl w:ilvl="0">
      <w:lvlJc w:val="left"/>
      <w:lvlText w:val="(%1)"/>
      <w:numFmt w:val="lowerLetter"/>
      <w:start w:val="25"/>
    </w:lvl>
  </w:abstractNum>
  <w:abstractNum w:abstractNumId="45">
    <w:nsid w:val="235BA861"/>
    <w:multiLevelType w:val="hybridMultilevel"/>
    <w:lvl w:ilvl="0">
      <w:lvlJc w:val="left"/>
      <w:lvlText w:val="%1"/>
      <w:numFmt w:val="lowerLetter"/>
      <w:start w:val="1"/>
    </w:lvl>
    <w:lvl w:ilvl="1">
      <w:lvlJc w:val="left"/>
      <w:lvlText w:val="(%2)"/>
      <w:numFmt w:val="lowerLetter"/>
      <w:start w:val="27"/>
    </w:lvl>
  </w:abstractNum>
  <w:abstractNum w:abstractNumId="46">
    <w:nsid w:val="47398C89"/>
    <w:multiLevelType w:val="hybridMultilevel"/>
    <w:lvl w:ilvl="0">
      <w:lvlJc w:val="left"/>
      <w:lvlText w:val="(%1)"/>
      <w:numFmt w:val="lowerLetter"/>
      <w:start w:val="25"/>
    </w:lvl>
    <w:lvl w:ilvl="1">
      <w:lvlJc w:val="left"/>
      <w:lvlText w:val="%2"/>
      <w:numFmt w:val="lowerLetter"/>
      <w:start w:val="1"/>
    </w:lvl>
  </w:abstractNum>
  <w:abstractNum w:abstractNumId="47">
    <w:nsid w:val="354FE9F9"/>
    <w:multiLevelType w:val="hybridMultilevel"/>
    <w:lvl w:ilvl="0">
      <w:lvlJc w:val="left"/>
      <w:lvlText w:val="(%1)"/>
      <w:numFmt w:val="lowerLetter"/>
      <w:start w:val="28"/>
    </w:lvl>
  </w:abstractNum>
  <w:abstractNum w:abstractNumId="48">
    <w:nsid w:val="15B5AF5C"/>
    <w:multiLevelType w:val="hybridMultilevel"/>
    <w:lvl w:ilvl="0">
      <w:lvlJc w:val="left"/>
      <w:lvlText w:val="%1"/>
      <w:numFmt w:val="lowerLetter"/>
      <w:start w:val="1"/>
    </w:lvl>
    <w:lvl w:ilvl="1">
      <w:lvlJc w:val="left"/>
      <w:lvlText w:val="(%2)"/>
      <w:numFmt w:val="lowerLetter"/>
      <w:start w:val="34"/>
    </w:lvl>
  </w:abstractNum>
  <w:abstractNum w:abstractNumId="49">
    <w:nsid w:val="741226BB"/>
    <w:multiLevelType w:val="hybridMultilevel"/>
    <w:lvl w:ilvl="0">
      <w:lvlJc w:val="left"/>
      <w:lvlText w:val="(%1)"/>
      <w:numFmt w:val="lowerLetter"/>
      <w:start w:val="35"/>
    </w:lvl>
    <w:lvl w:ilvl="1">
      <w:lvlJc w:val="left"/>
      <w:lvlText w:val="(%2)"/>
      <w:numFmt w:val="lowerLetter"/>
      <w:start w:val="35"/>
    </w:lvl>
  </w:abstractNum>
  <w:abstractNum w:abstractNumId="50">
    <w:nsid w:val="D34B6A8"/>
    <w:multiLevelType w:val="hybridMultilevel"/>
    <w:lvl w:ilvl="0">
      <w:lvlJc w:val="left"/>
      <w:lvlText w:val="(%1)"/>
      <w:numFmt w:val="lowerLetter"/>
      <w:start w:val="38"/>
    </w:lvl>
  </w:abstractNum>
  <w:abstractNum w:abstractNumId="51">
    <w:nsid w:val="10233C99"/>
    <w:multiLevelType w:val="hybridMultilevel"/>
    <w:lvl w:ilvl="0">
      <w:lvlJc w:val="left"/>
      <w:lvlText w:val="(%1)"/>
      <w:numFmt w:val="lowerLetter"/>
      <w:start w:val="45"/>
    </w:lvl>
  </w:abstractNum>
  <w:abstractNum w:abstractNumId="52">
    <w:nsid w:val="3F6AB60F"/>
    <w:multiLevelType w:val="hybridMultilevel"/>
    <w:lvl w:ilvl="0">
      <w:lvlJc w:val="left"/>
      <w:lvlText w:val="(%1)"/>
      <w:numFmt w:val="lowerLetter"/>
      <w:start w:val="1"/>
    </w:lvl>
  </w:abstractNum>
  <w:abstractNum w:abstractNumId="53">
    <w:nsid w:val="61574095"/>
    <w:multiLevelType w:val="hybridMultilevel"/>
    <w:lvl w:ilvl="0">
      <w:lvlJc w:val="left"/>
      <w:lvlText w:val="(%1)"/>
      <w:numFmt w:val="lowerLetter"/>
      <w:start w:val="8"/>
    </w:lvl>
  </w:abstractNum>
  <w:abstractNum w:abstractNumId="54">
    <w:nsid w:val="7E0C57B1"/>
    <w:multiLevelType w:val="hybridMultilevel"/>
    <w:lvl w:ilvl="0">
      <w:lvlJc w:val="left"/>
      <w:lvlText w:val="(%1)"/>
      <w:numFmt w:val="lowerLetter"/>
      <w:start w:val="1"/>
    </w:lvl>
  </w:abstractNum>
  <w:abstractNum w:abstractNumId="55">
    <w:nsid w:val="77AE35EB"/>
    <w:multiLevelType w:val="hybridMultilevel"/>
    <w:lvl w:ilvl="0">
      <w:lvlJc w:val="left"/>
      <w:lvlText w:val="(%1)"/>
      <w:numFmt w:val="lowerLetter"/>
      <w:start w:val="1"/>
    </w:lvl>
  </w:abstractNum>
  <w:abstractNum w:abstractNumId="56">
    <w:nsid w:val="579BE4F1"/>
    <w:multiLevelType w:val="hybridMultilevel"/>
    <w:lvl w:ilvl="0">
      <w:lvlJc w:val="left"/>
      <w:lvlText w:val="(%1)"/>
      <w:numFmt w:val="lowerLetter"/>
      <w:start w:val="3"/>
    </w:lvl>
  </w:abstractNum>
  <w:abstractNum w:abstractNumId="57">
    <w:nsid w:val="310C50B3"/>
    <w:multiLevelType w:val="hybridMultilevel"/>
    <w:lvl w:ilvl="0">
      <w:lvlJc w:val="left"/>
      <w:lvlText w:val="(%1)"/>
      <w:numFmt w:val="lowerLetter"/>
      <w:start w:val="2"/>
    </w:lvl>
  </w:abstractNum>
  <w:abstractNum w:abstractNumId="58">
    <w:nsid w:val="5FF87E05"/>
    <w:multiLevelType w:val="hybridMultilevel"/>
    <w:lvl w:ilvl="0">
      <w:lvlJc w:val="left"/>
      <w:lvlText w:val="☐"/>
      <w:numFmt w:val="bullet"/>
      <w:start w:val="1"/>
    </w:lvl>
  </w:abstractNum>
  <w:abstractNum w:abstractNumId="59">
    <w:nsid w:val="2F305DEF"/>
    <w:multiLevelType w:val="hybridMultilevel"/>
    <w:lvl w:ilvl="0">
      <w:lvlJc w:val="left"/>
      <w:lvlText w:val="%1."/>
      <w:numFmt w:val="decimal"/>
      <w:start w:val="1"/>
    </w:lvl>
  </w:abstractNum>
  <w:abstractNum w:abstractNumId="60">
    <w:nsid w:val="25A70BF7"/>
    <w:multiLevelType w:val="hybridMultilevel"/>
    <w:lvl w:ilvl="0">
      <w:lvlJc w:val="left"/>
      <w:lvlText w:val="%1."/>
      <w:numFmt w:val="decimal"/>
      <w:start w:val="2"/>
    </w:lvl>
  </w:abstractNum>
  <w:abstractNum w:abstractNumId="61">
    <w:nsid w:val="1DBABF00"/>
    <w:multiLevelType w:val="hybridMultilevel"/>
    <w:lvl w:ilvl="0">
      <w:lvlJc w:val="left"/>
      <w:lvlText w:val="%1"/>
      <w:numFmt w:val="upperLetter"/>
      <w:start w:val="1"/>
    </w:lvl>
    <w:lvl w:ilvl="1">
      <w:lvlJc w:val="left"/>
      <w:lvlText w:val="%2."/>
      <w:numFmt w:val="decimal"/>
      <w:start w:val="4"/>
    </w:lvl>
  </w:abstractNum>
  <w:abstractNum w:abstractNumId="62">
    <w:nsid w:val="4AD084E9"/>
    <w:multiLevelType w:val="hybridMultilevel"/>
    <w:lvl w:ilvl="0">
      <w:lvlJc w:val="left"/>
      <w:lvlText w:val="%1."/>
      <w:numFmt w:val="upperLetter"/>
      <w:start w:val="2"/>
    </w:lvl>
    <w:lvl w:ilvl="1">
      <w:lvlJc w:val="left"/>
      <w:lvlText w:val="%2."/>
      <w:numFmt w:val="decimal"/>
      <w:start w:val="1"/>
    </w:lvl>
  </w:abstractNum>
  <w:abstractNum w:abstractNumId="63">
    <w:nsid w:val="1F48EAA1"/>
    <w:multiLevelType w:val="hybridMultilevel"/>
    <w:lvl w:ilvl="0">
      <w:lvlJc w:val="left"/>
      <w:lvlText w:val="%1."/>
      <w:numFmt w:val="decimal"/>
      <w:start w:val="3"/>
    </w:lvl>
  </w:abstractNum>
  <w:abstractNum w:abstractNumId="64">
    <w:nsid w:val="1381823A"/>
    <w:multiLevelType w:val="hybridMultilevel"/>
    <w:lvl w:ilvl="0">
      <w:lvlJc w:val="left"/>
      <w:lvlText w:val="%1."/>
      <w:numFmt w:val="upperLetter"/>
      <w:start w:val="1"/>
    </w:lvl>
  </w:abstractNum>
  <w:abstractNum w:abstractNumId="65">
    <w:nsid w:val="5DB70AE5"/>
    <w:multiLevelType w:val="hybridMultilevel"/>
    <w:lvl w:ilvl="0">
      <w:lvlJc w:val="left"/>
      <w:lvlText w:val="%1."/>
      <w:numFmt w:val="decimal"/>
      <w:start w:val="1"/>
    </w:lvl>
  </w:abstractNum>
  <w:abstractNum w:abstractNumId="66">
    <w:nsid w:val="100F8FCA"/>
    <w:multiLevelType w:val="hybridMultilevel"/>
    <w:lvl w:ilvl="0">
      <w:lvlJc w:val="left"/>
      <w:lvlText w:val="%1."/>
      <w:numFmt w:val="decimal"/>
      <w:start w:val="2"/>
    </w:lvl>
  </w:abstractNum>
  <w:abstractNum w:abstractNumId="67">
    <w:nsid w:val="6590700B"/>
    <w:multiLevelType w:val="hybridMultilevel"/>
    <w:lvl w:ilvl="0">
      <w:lvlJc w:val="left"/>
      <w:lvlText w:val="%1."/>
      <w:numFmt w:val="lowerRoman"/>
      <w:start w:val="1"/>
    </w:lvl>
  </w:abstractNum>
  <w:abstractNum w:abstractNumId="68">
    <w:nsid w:val="15014ACB"/>
    <w:multiLevelType w:val="hybridMultilevel"/>
    <w:lvl w:ilvl="0">
      <w:lvlJc w:val="left"/>
      <w:lvlText w:val="%1."/>
      <w:numFmt w:val="lowerRoman"/>
      <w:start w:val="9"/>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2026-05-13T05:17:57Z</dcterms:created>
  <dcterms:modified xsi:type="dcterms:W3CDTF">2026-05-13T05:17:57Z</dcterms:modified>
</cp:coreProperties>
</file>